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5E8EE">
      <w:pPr>
        <w:keepNext w:val="0"/>
        <w:keepLines w:val="0"/>
        <w:widowControl/>
        <w:suppressLineNumbers w:val="0"/>
        <w:jc w:val="center"/>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44"/>
          <w:szCs w:val="44"/>
          <w:lang w:val="en-US" w:eastAsia="zh-CN" w:bidi="ar"/>
          <w14:textFill>
            <w14:solidFill>
              <w14:schemeClr w14:val="tx1"/>
            </w14:solidFill>
          </w14:textFill>
        </w:rPr>
        <w:t>资阳市精神病医院洗衣设备及蒸汽发生器维保服务项目合同文本</w:t>
      </w:r>
    </w:p>
    <w:p w14:paraId="223E8F60">
      <w:pPr>
        <w:keepNext w:val="0"/>
        <w:keepLines w:val="0"/>
        <w:pageBreakBefore w:val="0"/>
        <w:widowControl/>
        <w:suppressLineNumbers w:val="0"/>
        <w:kinsoku/>
        <w:wordWrap/>
        <w:overflowPunct/>
        <w:topLinePunct w:val="0"/>
        <w:autoSpaceDE/>
        <w:autoSpaceDN/>
        <w:bidi w:val="0"/>
        <w:adjustRightInd w:val="0"/>
        <w:snapToGrid w:val="0"/>
        <w:spacing w:line="320" w:lineRule="atLeast"/>
        <w:jc w:val="left"/>
        <w:textAlignment w:val="auto"/>
        <w:rPr>
          <w:color w:val="000000" w:themeColor="text1"/>
          <w:sz w:val="30"/>
          <w:szCs w:val="30"/>
          <w14:textFill>
            <w14:solidFill>
              <w14:schemeClr w14:val="tx1"/>
            </w14:solidFill>
          </w14:textFill>
        </w:rPr>
      </w:pPr>
      <w:r>
        <w:rPr>
          <w:rFonts w:ascii="宋体" w:hAnsi="宋体" w:eastAsia="宋体" w:cs="宋体"/>
          <w:color w:val="000000" w:themeColor="text1"/>
          <w:kern w:val="0"/>
          <w:sz w:val="30"/>
          <w:szCs w:val="30"/>
          <w:lang w:val="en-US" w:eastAsia="zh-CN" w:bidi="ar"/>
          <w14:textFill>
            <w14:solidFill>
              <w14:schemeClr w14:val="tx1"/>
            </w14:solidFill>
          </w14:textFill>
        </w:rPr>
        <w:t>签订时间：</w:t>
      </w:r>
      <w:r>
        <w:rPr>
          <w:rFonts w:hint="eastAsia" w:ascii="宋体" w:hAnsi="宋体" w:eastAsia="宋体" w:cs="宋体"/>
          <w:color w:val="000000" w:themeColor="text1"/>
          <w:kern w:val="0"/>
          <w:sz w:val="30"/>
          <w:szCs w:val="30"/>
          <w:lang w:val="en-US" w:eastAsia="zh-CN" w:bidi="ar"/>
          <w14:textFill>
            <w14:solidFill>
              <w14:schemeClr w14:val="tx1"/>
            </w14:solidFill>
          </w14:textFill>
        </w:rPr>
        <w:t>2026</w:t>
      </w:r>
      <w:r>
        <w:rPr>
          <w:rFonts w:ascii="宋体" w:hAnsi="宋体" w:eastAsia="宋体" w:cs="宋体"/>
          <w:color w:val="000000" w:themeColor="text1"/>
          <w:kern w:val="0"/>
          <w:sz w:val="30"/>
          <w:szCs w:val="30"/>
          <w:lang w:val="en-US" w:eastAsia="zh-CN" w:bidi="ar"/>
          <w14:textFill>
            <w14:solidFill>
              <w14:schemeClr w14:val="tx1"/>
            </w14:solidFill>
          </w14:textFill>
        </w:rPr>
        <w:t>年</w:t>
      </w:r>
      <w:r>
        <w:rPr>
          <w:rFonts w:hint="eastAsia" w:ascii="宋体" w:hAnsi="宋体" w:eastAsia="宋体" w:cs="宋体"/>
          <w:color w:val="000000" w:themeColor="text1"/>
          <w:kern w:val="0"/>
          <w:sz w:val="30"/>
          <w:szCs w:val="30"/>
          <w:lang w:val="en-US" w:eastAsia="zh-CN" w:bidi="ar"/>
          <w14:textFill>
            <w14:solidFill>
              <w14:schemeClr w14:val="tx1"/>
            </w14:solidFill>
          </w14:textFill>
        </w:rPr>
        <w:t xml:space="preserve">   </w:t>
      </w:r>
      <w:r>
        <w:rPr>
          <w:rFonts w:ascii="宋体" w:hAnsi="宋体" w:eastAsia="宋体" w:cs="宋体"/>
          <w:color w:val="000000" w:themeColor="text1"/>
          <w:kern w:val="0"/>
          <w:sz w:val="30"/>
          <w:szCs w:val="30"/>
          <w:lang w:val="en-US" w:eastAsia="zh-CN" w:bidi="ar"/>
          <w14:textFill>
            <w14:solidFill>
              <w14:schemeClr w14:val="tx1"/>
            </w14:solidFill>
          </w14:textFill>
        </w:rPr>
        <w:t>月</w:t>
      </w:r>
      <w:r>
        <w:rPr>
          <w:rFonts w:hint="eastAsia" w:ascii="宋体" w:hAnsi="宋体" w:eastAsia="宋体" w:cs="宋体"/>
          <w:color w:val="000000" w:themeColor="text1"/>
          <w:kern w:val="0"/>
          <w:sz w:val="30"/>
          <w:szCs w:val="30"/>
          <w:lang w:val="en-US" w:eastAsia="zh-CN" w:bidi="ar"/>
          <w14:textFill>
            <w14:solidFill>
              <w14:schemeClr w14:val="tx1"/>
            </w14:solidFill>
          </w14:textFill>
        </w:rPr>
        <w:t xml:space="preserve">   </w:t>
      </w:r>
      <w:r>
        <w:rPr>
          <w:rFonts w:ascii="宋体" w:hAnsi="宋体" w:eastAsia="宋体" w:cs="宋体"/>
          <w:color w:val="000000" w:themeColor="text1"/>
          <w:kern w:val="0"/>
          <w:sz w:val="30"/>
          <w:szCs w:val="30"/>
          <w:lang w:val="en-US" w:eastAsia="zh-CN" w:bidi="ar"/>
          <w14:textFill>
            <w14:solidFill>
              <w14:schemeClr w14:val="tx1"/>
            </w14:solidFill>
          </w14:textFill>
        </w:rPr>
        <w:t>日</w:t>
      </w:r>
    </w:p>
    <w:p w14:paraId="2C76802C">
      <w:pPr>
        <w:keepNext w:val="0"/>
        <w:keepLines w:val="0"/>
        <w:pageBreakBefore w:val="0"/>
        <w:widowControl/>
        <w:suppressLineNumbers w:val="0"/>
        <w:kinsoku/>
        <w:wordWrap/>
        <w:overflowPunct/>
        <w:topLinePunct w:val="0"/>
        <w:autoSpaceDE/>
        <w:autoSpaceDN/>
        <w:bidi w:val="0"/>
        <w:adjustRightInd w:val="0"/>
        <w:snapToGrid w:val="0"/>
        <w:spacing w:line="320" w:lineRule="atLeast"/>
        <w:jc w:val="left"/>
        <w:textAlignment w:val="auto"/>
        <w:rPr>
          <w:color w:val="000000" w:themeColor="text1"/>
          <w:sz w:val="30"/>
          <w:szCs w:val="30"/>
          <w14:textFill>
            <w14:solidFill>
              <w14:schemeClr w14:val="tx1"/>
            </w14:solidFill>
          </w14:textFill>
        </w:rPr>
      </w:pPr>
      <w:r>
        <w:rPr>
          <w:rFonts w:ascii="宋体" w:hAnsi="宋体" w:eastAsia="宋体" w:cs="宋体"/>
          <w:color w:val="000000" w:themeColor="text1"/>
          <w:kern w:val="0"/>
          <w:sz w:val="30"/>
          <w:szCs w:val="30"/>
          <w:lang w:val="en-US" w:eastAsia="zh-CN" w:bidi="ar"/>
          <w14:textFill>
            <w14:solidFill>
              <w14:schemeClr w14:val="tx1"/>
            </w14:solidFill>
          </w14:textFill>
        </w:rPr>
        <w:t>采购人（甲方）：资阳市精神病医院</w:t>
      </w:r>
    </w:p>
    <w:p w14:paraId="5067FE12">
      <w:pPr>
        <w:keepNext w:val="0"/>
        <w:keepLines w:val="0"/>
        <w:pageBreakBefore w:val="0"/>
        <w:widowControl w:val="0"/>
        <w:kinsoku/>
        <w:wordWrap/>
        <w:overflowPunct/>
        <w:topLinePunct w:val="0"/>
        <w:autoSpaceDE/>
        <w:autoSpaceDN/>
        <w:bidi w:val="0"/>
        <w:adjustRightInd w:val="0"/>
        <w:snapToGrid w:val="0"/>
        <w:spacing w:line="320" w:lineRule="atLeast"/>
        <w:ind w:left="0" w:hanging="6600" w:hangingChars="2200"/>
        <w:textAlignment w:val="auto"/>
        <w:outlineLvl w:val="9"/>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ascii="宋体" w:hAnsi="宋体" w:eastAsia="宋体" w:cs="宋体"/>
          <w:color w:val="000000" w:themeColor="text1"/>
          <w:kern w:val="0"/>
          <w:sz w:val="30"/>
          <w:szCs w:val="30"/>
          <w:lang w:val="en-US" w:eastAsia="zh-CN" w:bidi="ar"/>
          <w14:textFill>
            <w14:solidFill>
              <w14:schemeClr w14:val="tx1"/>
            </w14:solidFill>
          </w14:textFill>
        </w:rPr>
        <w:t>供应商（乙方）：</w:t>
      </w:r>
    </w:p>
    <w:p w14:paraId="7D236B42">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一、基本情况</w:t>
      </w:r>
    </w:p>
    <w:p w14:paraId="51A25792">
      <w:pPr>
        <w:keepNext w:val="0"/>
        <w:keepLines w:val="0"/>
        <w:widowControl/>
        <w:suppressLineNumbers w:val="0"/>
        <w:jc w:val="left"/>
        <w:rPr>
          <w:rFonts w:hint="eastAsia" w:eastAsia="宋体"/>
          <w:color w:val="000000" w:themeColor="text1"/>
          <w:lang w:eastAsia="zh-CN"/>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资阳市</w:t>
      </w:r>
      <w:r>
        <w:rPr>
          <w:rFonts w:hint="eastAsia" w:ascii="宋体" w:hAnsi="宋体" w:eastAsia="宋体" w:cs="宋体"/>
          <w:color w:val="000000" w:themeColor="text1"/>
          <w:sz w:val="24"/>
          <w:szCs w:val="24"/>
          <w:lang w:val="en-US" w:eastAsia="zh-CN"/>
          <w14:textFill>
            <w14:solidFill>
              <w14:schemeClr w14:val="tx1"/>
            </w14:solidFill>
          </w14:textFill>
        </w:rPr>
        <w:t>精神病医院的</w:t>
      </w:r>
      <w:r>
        <w:rPr>
          <w:rFonts w:ascii="宋体" w:hAnsi="宋体" w:eastAsia="宋体" w:cs="宋体"/>
          <w:color w:val="000000" w:themeColor="text1"/>
          <w:sz w:val="24"/>
          <w:szCs w:val="24"/>
          <w14:textFill>
            <w14:solidFill>
              <w14:schemeClr w14:val="tx1"/>
            </w14:solidFill>
          </w14:textFill>
        </w:rPr>
        <w:t>洗衣设备及蒸汽发生器维保服务项目，主要包含洗衣设备、蒸汽发生器日常巡检、定期保养、故障检修、配件更换、性能调试、安全检测、设备运行状态记录、应急抢修及保障设备安全稳定运行所需全部配套服务内容</w:t>
      </w:r>
      <w:r>
        <w:rPr>
          <w:rFonts w:hint="eastAsia" w:ascii="宋体" w:hAnsi="宋体" w:eastAsia="宋体" w:cs="宋体"/>
          <w:color w:val="000000" w:themeColor="text1"/>
          <w:sz w:val="24"/>
          <w:szCs w:val="24"/>
          <w:lang w:eastAsia="zh-CN"/>
          <w14:textFill>
            <w14:solidFill>
              <w14:schemeClr w14:val="tx1"/>
            </w14:solidFill>
          </w14:textFill>
        </w:rPr>
        <w:t>。</w:t>
      </w:r>
    </w:p>
    <w:p w14:paraId="4A9B5609">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二、合同总价</w:t>
      </w:r>
    </w:p>
    <w:p w14:paraId="2D53DD64">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合同总价为人民币：XX万元</w:t>
      </w:r>
    </w:p>
    <w:p w14:paraId="0269178B">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b/>
          <w:bCs/>
          <w:color w:val="000000" w:themeColor="text1"/>
          <w:sz w:val="32"/>
          <w:szCs w:val="32"/>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三、技术要求</w:t>
      </w:r>
    </w:p>
    <w:p w14:paraId="03FA87F3">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r>
        <w:rPr>
          <w:rFonts w:ascii="宋体" w:hAnsi="宋体" w:eastAsia="宋体" w:cs="宋体"/>
          <w:color w:val="000000" w:themeColor="text1"/>
          <w:sz w:val="24"/>
          <w:szCs w:val="24"/>
          <w14:textFill>
            <w14:solidFill>
              <w14:schemeClr w14:val="tx1"/>
            </w14:solidFill>
          </w14:textFill>
        </w:rPr>
        <w:t>供应商应为采购人所有洗涤设备建立维护保养记录单，维保工作完成后由双方现场人员签收确认；记录档案一式两份，甲、乙双方各执一份。</w:t>
      </w:r>
    </w:p>
    <w:p w14:paraId="2A3C3538">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供应商每季度对采购人的洗涤设备进行一次保养，对采购人所有洗涤设备的电机、电器元件、轴承、变频器，电脑、卤轮、链条、皮带、气动阀、弹簧、阻尼器、门、传动系统进行检查、维护、维修。要求对采购人所有洗涤设备进行更彻底的维护保养，检修设备以确保采购人设备正常高效地运行；若有配件需要更换的，供应商向采购人书面提出保养所需要的配件计划，包括配件名称、数量及价格等，交采购人确认。</w:t>
      </w:r>
    </w:p>
    <w:p w14:paraId="4EA78D4A">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洗涤设备进口端以外的管路（含蒸汽、压缩空气、冷水、热水、电源进线）不包含在供应商提供的保养服务范围内。如发生不在供应商服务范围内的故障而影响采购人洗涤设备正常运行由医院负责。但厂家有责任提醒采购人及时维护。</w:t>
      </w:r>
    </w:p>
    <w:p w14:paraId="4181E244">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服务期间，供应商为采购人提供24小时不间断服务响应。本合同清单内洗涤设备出现故障，供应商接到采购人通知后立即响应，并在采购人规定的时间完成维修服务，如需上门维修的，供应商应在采购人规定的时间内指派技术人员提供上门维修服务，随时帮助采购人解除设备上的任何突发故障，所有费用均包含在本合同服务费用中。如需更换零配件的，零配件费用由采购人另行支付，但供应商应按市场最优惠价格向采购人收取。</w:t>
      </w:r>
    </w:p>
    <w:p w14:paraId="1BFD08B2">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240" w:lineRule="atLeast"/>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5、供应商自行负责维修保养过程中的安全责任，任何安全事故均与采购人无关，如给采购人或第三方造成人身、财产损失的，均由供应商负责承担。</w:t>
      </w:r>
    </w:p>
    <w:p w14:paraId="2D81FDBD">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240" w:lineRule="atLeast"/>
        <w:jc w:val="left"/>
        <w:textAlignment w:val="auto"/>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6、</w:t>
      </w:r>
      <w:r>
        <w:rPr>
          <w:rFonts w:hint="default" w:ascii="宋体" w:hAnsi="宋体" w:eastAsia="宋体" w:cs="宋体"/>
          <w:color w:val="000000" w:themeColor="text1"/>
          <w:kern w:val="0"/>
          <w:sz w:val="24"/>
          <w:szCs w:val="24"/>
          <w:lang w:val="en-US" w:eastAsia="zh-CN" w:bidi="ar"/>
          <w14:textFill>
            <w14:solidFill>
              <w14:schemeClr w14:val="tx1"/>
            </w14:solidFill>
          </w14:textFill>
        </w:rPr>
        <w:t>院内洗衣设备、蒸汽发生器系统，包含设备定期巡检保养、故障检修、安全排查、应急维修等；含设备本体、膜壳、波纹管、管路、控制元器件等部件维护</w:t>
      </w:r>
      <w:r>
        <w:rPr>
          <w:rFonts w:hint="eastAsia" w:ascii="宋体" w:hAnsi="宋体" w:eastAsia="宋体" w:cs="宋体"/>
          <w:color w:val="000000" w:themeColor="text1"/>
          <w:kern w:val="0"/>
          <w:sz w:val="24"/>
          <w:szCs w:val="24"/>
          <w:lang w:val="en-US" w:eastAsia="zh-CN" w:bidi="ar"/>
          <w14:textFill>
            <w14:solidFill>
              <w14:schemeClr w14:val="tx1"/>
            </w14:solidFill>
          </w14:textFill>
        </w:rPr>
        <w:t>；如发现有零部件损坏或由于零部件的正常磨损而需要更换，零部件单项费用在200元（含）以下，由中选供应商承担，零部件价格超过200元以上的费用，则在采购人认可的前提下，由采购人委托中选供应商代为采购，中选供应商负责更换，超过200元以上的由采购人承担。</w:t>
      </w:r>
      <w:r>
        <w:rPr>
          <w:rFonts w:ascii="宋体" w:hAnsi="宋体" w:eastAsia="宋体" w:cs="宋体"/>
          <w:color w:val="000000" w:themeColor="text1"/>
          <w:kern w:val="0"/>
          <w:sz w:val="24"/>
          <w:szCs w:val="24"/>
          <w:lang w:val="en-US" w:eastAsia="zh-CN" w:bidi="ar"/>
          <w14:textFill>
            <w14:solidFill>
              <w14:schemeClr w14:val="tx1"/>
            </w14:solidFill>
          </w14:textFill>
        </w:rPr>
        <w:t>对于清单内配件，甲方有权通过线上、线下询价方式核定最终采购价格。</w:t>
      </w:r>
    </w:p>
    <w:p w14:paraId="3EB943A8">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default"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7、</w:t>
      </w:r>
      <w:r>
        <w:rPr>
          <w:rFonts w:ascii="宋体" w:hAnsi="宋体" w:eastAsia="宋体" w:cs="宋体"/>
          <w:color w:val="000000" w:themeColor="text1"/>
          <w:sz w:val="24"/>
          <w:szCs w:val="24"/>
          <w14:textFill>
            <w14:solidFill>
              <w14:schemeClr w14:val="tx1"/>
            </w14:solidFill>
          </w14:textFill>
        </w:rPr>
        <w:t>配件价格约束机制：清单内配件，由甲方与中选供应商参照院内价格管理制度共同核定。（1）单价</w:t>
      </w:r>
      <w:r>
        <w:rPr>
          <w:rFonts w:hint="eastAsia" w:ascii="宋体" w:hAnsi="宋体" w:eastAsia="宋体" w:cs="宋体"/>
          <w:color w:val="000000" w:themeColor="text1"/>
          <w:sz w:val="24"/>
          <w:szCs w:val="24"/>
          <w:lang w:val="en-US" w:eastAsia="zh-CN"/>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200 元的配件，由中选供应商免费提供并更换；（2）清单内配件，若供应商报价高于双方共同询价均价的200%，视为乙方违约；（3）因市场行情发生剧烈波动的情形，经双方核实确认后，不认定为违约。</w:t>
      </w:r>
    </w:p>
    <w:p w14:paraId="268E13E6">
      <w:pPr>
        <w:pStyle w:val="2"/>
        <w:keepNext w:val="0"/>
        <w:keepLines w:val="0"/>
        <w:pageBreakBefore w:val="0"/>
        <w:widowControl w:val="0"/>
        <w:numPr>
          <w:ilvl w:val="0"/>
          <w:numId w:val="0"/>
        </w:numPr>
        <w:kinsoku/>
        <w:wordWrap/>
        <w:overflowPunct/>
        <w:topLinePunct w:val="0"/>
        <w:autoSpaceDE/>
        <w:autoSpaceDN/>
        <w:bidi w:val="0"/>
        <w:adjustRightInd w:val="0"/>
        <w:snapToGrid w:val="0"/>
        <w:spacing w:line="240" w:lineRule="atLeast"/>
        <w:jc w:val="left"/>
        <w:textAlignment w:val="auto"/>
        <w:rPr>
          <w:rFonts w:hint="default"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8、设备基本情况</w:t>
      </w:r>
    </w:p>
    <w:tbl>
      <w:tblPr>
        <w:tblStyle w:val="8"/>
        <w:tblW w:w="82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2758"/>
        <w:gridCol w:w="1654"/>
        <w:gridCol w:w="1320"/>
        <w:gridCol w:w="1806"/>
      </w:tblGrid>
      <w:tr w14:paraId="4F53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8" w:hRule="atLeast"/>
          <w:jc w:val="center"/>
        </w:trPr>
        <w:tc>
          <w:tcPr>
            <w:tcW w:w="759" w:type="dxa"/>
            <w:vAlign w:val="center"/>
          </w:tcPr>
          <w:p w14:paraId="585671F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序号</w:t>
            </w:r>
          </w:p>
        </w:tc>
        <w:tc>
          <w:tcPr>
            <w:tcW w:w="2758" w:type="dxa"/>
            <w:vAlign w:val="center"/>
          </w:tcPr>
          <w:p w14:paraId="23784FE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设备名称</w:t>
            </w:r>
          </w:p>
        </w:tc>
        <w:tc>
          <w:tcPr>
            <w:tcW w:w="1654" w:type="dxa"/>
            <w:vAlign w:val="center"/>
          </w:tcPr>
          <w:p w14:paraId="2E52C83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设备型号</w:t>
            </w:r>
          </w:p>
        </w:tc>
        <w:tc>
          <w:tcPr>
            <w:tcW w:w="1320" w:type="dxa"/>
            <w:vAlign w:val="center"/>
          </w:tcPr>
          <w:p w14:paraId="53E30C8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数量（台）</w:t>
            </w:r>
          </w:p>
        </w:tc>
        <w:tc>
          <w:tcPr>
            <w:tcW w:w="1806" w:type="dxa"/>
            <w:vAlign w:val="center"/>
          </w:tcPr>
          <w:p w14:paraId="68CC18D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备注</w:t>
            </w:r>
          </w:p>
        </w:tc>
      </w:tr>
      <w:tr w14:paraId="4970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1434B4F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2758" w:type="dxa"/>
            <w:vAlign w:val="center"/>
          </w:tcPr>
          <w:p w14:paraId="10C6EED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鸿尔全自动洗涤脱水机</w:t>
            </w:r>
          </w:p>
        </w:tc>
        <w:tc>
          <w:tcPr>
            <w:tcW w:w="1654" w:type="dxa"/>
            <w:vAlign w:val="center"/>
          </w:tcPr>
          <w:p w14:paraId="316992E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XGQ-70F</w:t>
            </w:r>
          </w:p>
        </w:tc>
        <w:tc>
          <w:tcPr>
            <w:tcW w:w="1320" w:type="dxa"/>
            <w:vAlign w:val="center"/>
          </w:tcPr>
          <w:p w14:paraId="181038F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restart"/>
            <w:vAlign w:val="center"/>
          </w:tcPr>
          <w:p w14:paraId="1398B40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暂定地点：四院新区</w:t>
            </w:r>
          </w:p>
        </w:tc>
      </w:tr>
      <w:tr w14:paraId="126C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5B9E6AC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2</w:t>
            </w:r>
          </w:p>
        </w:tc>
        <w:tc>
          <w:tcPr>
            <w:tcW w:w="2758" w:type="dxa"/>
            <w:vAlign w:val="center"/>
          </w:tcPr>
          <w:p w14:paraId="7C3DD36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鸿尔全自动洗涤脱水机</w:t>
            </w:r>
          </w:p>
        </w:tc>
        <w:tc>
          <w:tcPr>
            <w:tcW w:w="1654" w:type="dxa"/>
            <w:vAlign w:val="center"/>
          </w:tcPr>
          <w:p w14:paraId="38E8DF8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XGQ-50F</w:t>
            </w:r>
          </w:p>
        </w:tc>
        <w:tc>
          <w:tcPr>
            <w:tcW w:w="1320" w:type="dxa"/>
            <w:vAlign w:val="center"/>
          </w:tcPr>
          <w:p w14:paraId="3361116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continue"/>
            <w:vAlign w:val="center"/>
          </w:tcPr>
          <w:p w14:paraId="6D7E816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r w14:paraId="50B5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5F08FCA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3</w:t>
            </w:r>
          </w:p>
        </w:tc>
        <w:tc>
          <w:tcPr>
            <w:tcW w:w="2758" w:type="dxa"/>
            <w:vAlign w:val="center"/>
          </w:tcPr>
          <w:p w14:paraId="2DE6D4C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鸿尔自动烘干机</w:t>
            </w:r>
          </w:p>
        </w:tc>
        <w:tc>
          <w:tcPr>
            <w:tcW w:w="1654" w:type="dxa"/>
            <w:vAlign w:val="center"/>
          </w:tcPr>
          <w:p w14:paraId="40F4098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GZZ-70E</w:t>
            </w:r>
          </w:p>
        </w:tc>
        <w:tc>
          <w:tcPr>
            <w:tcW w:w="1320" w:type="dxa"/>
            <w:vAlign w:val="center"/>
          </w:tcPr>
          <w:p w14:paraId="38878B7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continue"/>
            <w:vAlign w:val="center"/>
          </w:tcPr>
          <w:p w14:paraId="5F9E767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r w14:paraId="1E55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7EEA1BE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4</w:t>
            </w:r>
          </w:p>
        </w:tc>
        <w:tc>
          <w:tcPr>
            <w:tcW w:w="2758" w:type="dxa"/>
            <w:vAlign w:val="center"/>
          </w:tcPr>
          <w:p w14:paraId="248CF04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华丰蒸汽发生器</w:t>
            </w:r>
          </w:p>
        </w:tc>
        <w:tc>
          <w:tcPr>
            <w:tcW w:w="1654" w:type="dxa"/>
            <w:vAlign w:val="center"/>
          </w:tcPr>
          <w:p w14:paraId="015BC44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LSS0.6-0.7-Q</w:t>
            </w:r>
          </w:p>
        </w:tc>
        <w:tc>
          <w:tcPr>
            <w:tcW w:w="1320" w:type="dxa"/>
            <w:vAlign w:val="center"/>
          </w:tcPr>
          <w:p w14:paraId="0392DE9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continue"/>
            <w:vAlign w:val="center"/>
          </w:tcPr>
          <w:p w14:paraId="1325E3B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r w14:paraId="4DBBA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0934A47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5</w:t>
            </w:r>
          </w:p>
        </w:tc>
        <w:tc>
          <w:tcPr>
            <w:tcW w:w="2758" w:type="dxa"/>
            <w:vAlign w:val="center"/>
          </w:tcPr>
          <w:p w14:paraId="3D56551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鸿尔全自动洗涤脱水机</w:t>
            </w:r>
          </w:p>
        </w:tc>
        <w:tc>
          <w:tcPr>
            <w:tcW w:w="1654" w:type="dxa"/>
            <w:vAlign w:val="center"/>
          </w:tcPr>
          <w:p w14:paraId="6425799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XGQ-100F</w:t>
            </w:r>
          </w:p>
        </w:tc>
        <w:tc>
          <w:tcPr>
            <w:tcW w:w="1320" w:type="dxa"/>
            <w:vAlign w:val="center"/>
          </w:tcPr>
          <w:p w14:paraId="7085890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restart"/>
            <w:vAlign w:val="center"/>
          </w:tcPr>
          <w:p w14:paraId="074E7A4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暂定地点：精院</w:t>
            </w:r>
          </w:p>
        </w:tc>
      </w:tr>
      <w:tr w14:paraId="7655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0D90746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6</w:t>
            </w:r>
          </w:p>
        </w:tc>
        <w:tc>
          <w:tcPr>
            <w:tcW w:w="2758" w:type="dxa"/>
            <w:vAlign w:val="center"/>
          </w:tcPr>
          <w:p w14:paraId="1643B44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鸿尔全自动洗涤脱水机</w:t>
            </w:r>
          </w:p>
        </w:tc>
        <w:tc>
          <w:tcPr>
            <w:tcW w:w="1654" w:type="dxa"/>
            <w:vAlign w:val="center"/>
          </w:tcPr>
          <w:p w14:paraId="618FB6C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XGQ-70F</w:t>
            </w:r>
          </w:p>
        </w:tc>
        <w:tc>
          <w:tcPr>
            <w:tcW w:w="1320" w:type="dxa"/>
            <w:vAlign w:val="center"/>
          </w:tcPr>
          <w:p w14:paraId="374965F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continue"/>
            <w:vAlign w:val="center"/>
          </w:tcPr>
          <w:p w14:paraId="2123F21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r w14:paraId="60E0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6130670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7</w:t>
            </w:r>
          </w:p>
        </w:tc>
        <w:tc>
          <w:tcPr>
            <w:tcW w:w="2758" w:type="dxa"/>
            <w:vAlign w:val="center"/>
          </w:tcPr>
          <w:p w14:paraId="418630D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鸿尔全自动洗涤脱水机</w:t>
            </w:r>
          </w:p>
        </w:tc>
        <w:tc>
          <w:tcPr>
            <w:tcW w:w="1654" w:type="dxa"/>
            <w:vAlign w:val="center"/>
          </w:tcPr>
          <w:p w14:paraId="75DA73C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XGQ-50F</w:t>
            </w:r>
          </w:p>
        </w:tc>
        <w:tc>
          <w:tcPr>
            <w:tcW w:w="1320" w:type="dxa"/>
            <w:vAlign w:val="center"/>
          </w:tcPr>
          <w:p w14:paraId="2B7B2E7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continue"/>
            <w:vAlign w:val="center"/>
          </w:tcPr>
          <w:p w14:paraId="792941F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r w14:paraId="4077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465E554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8</w:t>
            </w:r>
          </w:p>
        </w:tc>
        <w:tc>
          <w:tcPr>
            <w:tcW w:w="2758" w:type="dxa"/>
            <w:vAlign w:val="center"/>
          </w:tcPr>
          <w:p w14:paraId="00C9BAA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鸿尔自动烘干机</w:t>
            </w:r>
          </w:p>
        </w:tc>
        <w:tc>
          <w:tcPr>
            <w:tcW w:w="1654" w:type="dxa"/>
            <w:vAlign w:val="center"/>
          </w:tcPr>
          <w:p w14:paraId="3D9D5FE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GZZ-100E</w:t>
            </w:r>
          </w:p>
        </w:tc>
        <w:tc>
          <w:tcPr>
            <w:tcW w:w="1320" w:type="dxa"/>
            <w:vAlign w:val="center"/>
          </w:tcPr>
          <w:p w14:paraId="79A46FA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2</w:t>
            </w:r>
          </w:p>
        </w:tc>
        <w:tc>
          <w:tcPr>
            <w:tcW w:w="1806" w:type="dxa"/>
            <w:vMerge w:val="continue"/>
            <w:vAlign w:val="center"/>
          </w:tcPr>
          <w:p w14:paraId="2E0D1B4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r w14:paraId="512C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59" w:type="dxa"/>
            <w:vAlign w:val="center"/>
          </w:tcPr>
          <w:p w14:paraId="50FAC62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9</w:t>
            </w:r>
          </w:p>
        </w:tc>
        <w:tc>
          <w:tcPr>
            <w:tcW w:w="2758" w:type="dxa"/>
            <w:vAlign w:val="center"/>
          </w:tcPr>
          <w:p w14:paraId="26E9703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鸿尔自动烘干机</w:t>
            </w:r>
          </w:p>
        </w:tc>
        <w:tc>
          <w:tcPr>
            <w:tcW w:w="1654" w:type="dxa"/>
            <w:vAlign w:val="center"/>
          </w:tcPr>
          <w:p w14:paraId="29ED0AB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GZZ-50E</w:t>
            </w:r>
          </w:p>
        </w:tc>
        <w:tc>
          <w:tcPr>
            <w:tcW w:w="1320" w:type="dxa"/>
            <w:vAlign w:val="center"/>
          </w:tcPr>
          <w:p w14:paraId="4FE66CC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w:t>
            </w:r>
          </w:p>
        </w:tc>
        <w:tc>
          <w:tcPr>
            <w:tcW w:w="1806" w:type="dxa"/>
            <w:vMerge w:val="continue"/>
            <w:vAlign w:val="center"/>
          </w:tcPr>
          <w:p w14:paraId="2671890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r w14:paraId="6BC9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59" w:type="dxa"/>
            <w:vAlign w:val="center"/>
          </w:tcPr>
          <w:p w14:paraId="168BF56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10</w:t>
            </w:r>
          </w:p>
        </w:tc>
        <w:tc>
          <w:tcPr>
            <w:tcW w:w="2758" w:type="dxa"/>
            <w:shd w:val="clear" w:color="auto" w:fill="auto"/>
            <w:vAlign w:val="center"/>
          </w:tcPr>
          <w:p w14:paraId="0C98313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方正仿宋_GBK" w:hAnsi="方正仿宋_GBK" w:eastAsia="方正仿宋_GBK" w:cs="方正仿宋_GBK"/>
                <w:color w:val="000000" w:themeColor="text1"/>
                <w:kern w:val="2"/>
                <w:sz w:val="24"/>
                <w:szCs w:val="24"/>
                <w:vertAlign w:val="baseli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华丰蒸汽发生器</w:t>
            </w:r>
          </w:p>
        </w:tc>
        <w:tc>
          <w:tcPr>
            <w:tcW w:w="1654" w:type="dxa"/>
            <w:shd w:val="clear" w:color="auto" w:fill="auto"/>
            <w:vAlign w:val="center"/>
          </w:tcPr>
          <w:p w14:paraId="75D5599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方正仿宋_GBK" w:hAnsi="方正仿宋_GBK" w:eastAsia="方正仿宋_GBK" w:cs="方正仿宋_GBK"/>
                <w:color w:val="000000" w:themeColor="text1"/>
                <w:kern w:val="2"/>
                <w:sz w:val="24"/>
                <w:szCs w:val="24"/>
                <w:vertAlign w:val="baseli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LSS0.6-0.7-Q</w:t>
            </w:r>
          </w:p>
        </w:tc>
        <w:tc>
          <w:tcPr>
            <w:tcW w:w="1320" w:type="dxa"/>
            <w:shd w:val="clear" w:color="auto" w:fill="auto"/>
            <w:vAlign w:val="center"/>
          </w:tcPr>
          <w:p w14:paraId="58C27B1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方正仿宋_GBK" w:hAnsi="方正仿宋_GBK" w:eastAsia="方正仿宋_GBK" w:cs="方正仿宋_GBK"/>
                <w:color w:val="000000" w:themeColor="text1"/>
                <w:kern w:val="2"/>
                <w:sz w:val="24"/>
                <w:szCs w:val="24"/>
                <w:vertAlign w:val="baseline"/>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t>2</w:t>
            </w:r>
          </w:p>
        </w:tc>
        <w:tc>
          <w:tcPr>
            <w:tcW w:w="1806" w:type="dxa"/>
            <w:vMerge w:val="continue"/>
            <w:vAlign w:val="center"/>
          </w:tcPr>
          <w:p w14:paraId="3BDF3F3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方正仿宋_GBK" w:hAnsi="方正仿宋_GBK" w:eastAsia="方正仿宋_GBK" w:cs="方正仿宋_GBK"/>
                <w:color w:val="000000" w:themeColor="text1"/>
                <w:sz w:val="24"/>
                <w:szCs w:val="24"/>
                <w:vertAlign w:val="baseline"/>
                <w:lang w:val="en-US" w:eastAsia="zh-CN"/>
                <w14:textFill>
                  <w14:solidFill>
                    <w14:schemeClr w14:val="tx1"/>
                  </w14:solidFill>
                </w14:textFill>
              </w:rPr>
            </w:pPr>
          </w:p>
        </w:tc>
      </w:tr>
    </w:tbl>
    <w:p w14:paraId="4646FD71">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四、商务要求</w:t>
      </w:r>
    </w:p>
    <w:p w14:paraId="44CA1E8C">
      <w:pPr>
        <w:pStyle w:val="5"/>
        <w:keepNext w:val="0"/>
        <w:keepLines w:val="0"/>
        <w:pageBreakBefore w:val="0"/>
        <w:widowControl/>
        <w:kinsoku w:val="0"/>
        <w:wordWrap/>
        <w:overflowPunct/>
        <w:topLinePunct w:val="0"/>
        <w:autoSpaceDE w:val="0"/>
        <w:autoSpaceDN w:val="0"/>
        <w:bidi w:val="0"/>
        <w:adjustRightInd w:val="0"/>
        <w:snapToGrid w:val="0"/>
        <w:spacing w:line="240" w:lineRule="atLeast"/>
        <w:textAlignment w:val="baseline"/>
        <w:rPr>
          <w:rFonts w:hint="eastAsia" w:ascii="宋体" w:hAnsi="宋体" w:eastAsia="宋体" w:cs="宋体"/>
          <w:color w:val="000000" w:themeColor="text1"/>
          <w:kern w:val="0"/>
          <w:sz w:val="24"/>
          <w:szCs w:val="24"/>
          <w:lang w:val="en-US" w:eastAsia="en-US" w:bidi="ar"/>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付款进度安排：本项目服务期共3年，按年度分3次结算支付。合同履行期间，乙方完成当年度全部保养、维修服务工作，且对应的维修保养记录单经甲乙双方签字确认后，由乙方向甲方提交合法有效、完整的当年度完税发票及全套结算资料。甲方审核结算资料通过后，自满足付款条件之日起，原则上10个工作日内付款，最长不超过30日（特殊情形经双方协商一致的，按协商结果执行），支付当年度合同款项（合同总金额的1/3）。</w:t>
      </w:r>
    </w:p>
    <w:p w14:paraId="31C93021">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五、甲方的权利和义务</w:t>
      </w:r>
    </w:p>
    <w:p w14:paraId="04A3FFCA">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r>
        <w:rPr>
          <w:rFonts w:ascii="宋体" w:hAnsi="宋体" w:eastAsia="宋体" w:cs="宋体"/>
          <w:color w:val="000000" w:themeColor="text1"/>
          <w:kern w:val="0"/>
          <w:sz w:val="24"/>
          <w:szCs w:val="24"/>
          <w:lang w:val="en-US" w:eastAsia="zh-CN" w:bidi="ar"/>
          <w14:textFill>
            <w14:solidFill>
              <w14:schemeClr w14:val="tx1"/>
            </w14:solidFill>
          </w14:textFill>
        </w:rPr>
        <w:t>甲方有权依据本合同约定，对乙方维保服务全过程、配件质量、维保工艺、服务进度、作业安全文明情况进行监督、检查及验收；对不符合合同要求的维保工作，有权要求乙方无偿整改、重新维保。</w:t>
      </w:r>
    </w:p>
    <w:p w14:paraId="006BCF72">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r>
        <w:rPr>
          <w:rFonts w:ascii="宋体" w:hAnsi="宋体" w:eastAsia="宋体" w:cs="宋体"/>
          <w:color w:val="000000" w:themeColor="text1"/>
          <w:kern w:val="0"/>
          <w:sz w:val="24"/>
          <w:szCs w:val="24"/>
          <w:lang w:val="en-US" w:eastAsia="zh-CN" w:bidi="ar"/>
          <w14:textFill>
            <w14:solidFill>
              <w14:schemeClr w14:val="tx1"/>
            </w14:solidFill>
          </w14:textFill>
        </w:rPr>
        <w:t>甲方应当配合乙方开展现场维保作业、内部对接协调、服务验收等相关工作。</w:t>
      </w:r>
    </w:p>
    <w:p w14:paraId="3731C8AD">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r>
        <w:rPr>
          <w:rFonts w:ascii="宋体" w:hAnsi="宋体" w:eastAsia="宋体" w:cs="宋体"/>
          <w:color w:val="000000" w:themeColor="text1"/>
          <w:kern w:val="0"/>
          <w:sz w:val="24"/>
          <w:szCs w:val="24"/>
          <w:lang w:val="en-US" w:eastAsia="zh-CN" w:bidi="ar"/>
          <w14:textFill>
            <w14:solidFill>
              <w14:schemeClr w14:val="tx1"/>
            </w14:solidFill>
          </w14:textFill>
        </w:rPr>
        <w:t>出现因不可抗力致使不能实现合同目的等法定情形时，甲方有权解除合同。</w:t>
      </w:r>
    </w:p>
    <w:p w14:paraId="38FDADE5">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六、乙方的权利和义务</w:t>
      </w:r>
    </w:p>
    <w:p w14:paraId="4ED4C1EC">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r>
        <w:rPr>
          <w:rFonts w:ascii="宋体" w:hAnsi="宋体" w:eastAsia="宋体" w:cs="宋体"/>
          <w:color w:val="000000" w:themeColor="text1"/>
          <w:kern w:val="0"/>
          <w:sz w:val="24"/>
          <w:szCs w:val="24"/>
          <w:lang w:val="en-US" w:eastAsia="zh-CN" w:bidi="ar"/>
          <w14:textFill>
            <w14:solidFill>
              <w14:schemeClr w14:val="tx1"/>
            </w14:solidFill>
          </w14:textFill>
        </w:rPr>
        <w:t>乙方有权根据本合同约定合规收取合同价款。</w:t>
      </w:r>
    </w:p>
    <w:p w14:paraId="7C26ABE6">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r>
        <w:rPr>
          <w:rFonts w:ascii="宋体" w:hAnsi="宋体" w:eastAsia="宋体" w:cs="宋体"/>
          <w:color w:val="000000" w:themeColor="text1"/>
          <w:kern w:val="0"/>
          <w:sz w:val="24"/>
          <w:szCs w:val="24"/>
          <w:lang w:val="en-US" w:eastAsia="zh-CN" w:bidi="ar"/>
          <w14:textFill>
            <w14:solidFill>
              <w14:schemeClr w14:val="tx1"/>
            </w14:solidFill>
          </w14:textFill>
        </w:rPr>
        <w:t>乙方须严格按照国家相关规范、采购文件及合同要求开展洗衣设备及蒸汽发生器维保服务，确保维保质量、服务时效、作业安全全部达标，严禁将本维保项目转包、违法分包。</w:t>
      </w:r>
    </w:p>
    <w:p w14:paraId="79A7565D">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r>
        <w:rPr>
          <w:rFonts w:ascii="宋体" w:hAnsi="宋体" w:eastAsia="宋体" w:cs="宋体"/>
          <w:color w:val="000000" w:themeColor="text1"/>
          <w:kern w:val="0"/>
          <w:sz w:val="24"/>
          <w:szCs w:val="24"/>
          <w:lang w:val="en-US" w:eastAsia="zh-CN" w:bidi="ar"/>
          <w14:textFill>
            <w14:solidFill>
              <w14:schemeClr w14:val="tx1"/>
            </w14:solidFill>
          </w14:textFill>
        </w:rPr>
        <w:t>乙方全权负责维保作业期间安全生产、现场作业管理、安全隐患排查，承担维保服务全过程一切安全、质量责任。</w:t>
      </w:r>
    </w:p>
    <w:p w14:paraId="03E77CA4">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r>
        <w:rPr>
          <w:rFonts w:ascii="宋体" w:hAnsi="宋体" w:eastAsia="宋体" w:cs="宋体"/>
          <w:color w:val="000000" w:themeColor="text1"/>
          <w:kern w:val="0"/>
          <w:sz w:val="24"/>
          <w:szCs w:val="24"/>
          <w:lang w:val="en-US" w:eastAsia="zh-CN" w:bidi="ar"/>
          <w14:textFill>
            <w14:solidFill>
              <w14:schemeClr w14:val="tx1"/>
            </w14:solidFill>
          </w14:textFill>
        </w:rPr>
        <w:t>全程配合甲方监督检查、阶段性核查及年度服务验收，按要求提交设备巡检记录、保养台账、维修资料、验收材料等全套资料。</w:t>
      </w:r>
    </w:p>
    <w:p w14:paraId="5BA52075">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七、违约责任</w:t>
      </w:r>
    </w:p>
    <w:p w14:paraId="53431A6B">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w:t>
      </w:r>
      <w:r>
        <w:rPr>
          <w:rFonts w:ascii="宋体" w:hAnsi="宋体" w:eastAsia="宋体" w:cs="宋体"/>
          <w:color w:val="000000" w:themeColor="text1"/>
          <w:kern w:val="0"/>
          <w:sz w:val="24"/>
          <w:szCs w:val="24"/>
          <w:lang w:val="en-US" w:eastAsia="zh-CN" w:bidi="ar"/>
          <w14:textFill>
            <w14:solidFill>
              <w14:schemeClr w14:val="tx1"/>
            </w14:solidFill>
          </w14:textFill>
        </w:rPr>
        <w:t>甲乙双方须严格遵守本合同全部约定，保证项目正常履约。</w:t>
      </w:r>
    </w:p>
    <w:p w14:paraId="27AC61D0">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w:t>
      </w:r>
      <w:r>
        <w:rPr>
          <w:rFonts w:ascii="宋体" w:hAnsi="宋体" w:eastAsia="宋体" w:cs="宋体"/>
          <w:color w:val="000000" w:themeColor="text1"/>
          <w:kern w:val="0"/>
          <w:sz w:val="24"/>
          <w:szCs w:val="24"/>
          <w:lang w:val="en-US" w:eastAsia="zh-CN" w:bidi="ar"/>
          <w14:textFill>
            <w14:solidFill>
              <w14:schemeClr w14:val="tx1"/>
            </w14:solidFill>
          </w14:textFill>
        </w:rPr>
        <w:t>因乙方疏忽、失职、维保操作不当、配件质量缺陷、管理不到位等原因给甲方造成财产损失、安全事故、院区运营影响的，乙方承担全部赔偿及相关法律责任。</w:t>
      </w:r>
    </w:p>
    <w:p w14:paraId="74267FFB">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3.</w:t>
      </w:r>
      <w:r>
        <w:rPr>
          <w:rFonts w:ascii="宋体" w:hAnsi="宋体" w:eastAsia="宋体" w:cs="宋体"/>
          <w:color w:val="000000" w:themeColor="text1"/>
          <w:kern w:val="0"/>
          <w:sz w:val="24"/>
          <w:szCs w:val="24"/>
          <w:lang w:val="en-US" w:eastAsia="zh-CN" w:bidi="ar"/>
          <w14:textFill>
            <w14:solidFill>
              <w14:schemeClr w14:val="tx1"/>
            </w14:solidFill>
          </w14:textFill>
        </w:rPr>
        <w:t>乙方提供的配件质量、维保工艺、服务标准不符合合同及国家规范要求的，乙方须无偿整改、重新维保直至合格，并向甲方支付合同总金额10%的违约金；经两次整改维保仍无法达标的，甲方有权单方解除合同并向乙方追责。</w:t>
      </w:r>
    </w:p>
    <w:p w14:paraId="592A5D5E">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4.</w:t>
      </w:r>
      <w:r>
        <w:rPr>
          <w:rFonts w:ascii="宋体" w:hAnsi="宋体" w:eastAsia="宋体" w:cs="宋体"/>
          <w:color w:val="000000" w:themeColor="text1"/>
          <w:kern w:val="0"/>
          <w:sz w:val="24"/>
          <w:szCs w:val="24"/>
          <w:lang w:val="en-US" w:eastAsia="zh-CN" w:bidi="ar"/>
          <w14:textFill>
            <w14:solidFill>
              <w14:schemeClr w14:val="tx1"/>
            </w14:solidFill>
          </w14:textFill>
        </w:rPr>
        <w:t>乙方未按合同约定时限完成故障抢修、定期维保工作造成服务逾期的，每逾期1天，按合同总金额0.05%/天支付违约金；逾期超过20天，甲方可单方解除合同且不承担任何违约责任，乙方按合同总价10%支付违约金，赔偿甲方全部损失。</w:t>
      </w:r>
    </w:p>
    <w:p w14:paraId="78412E5C">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w:t>
      </w:r>
      <w:r>
        <w:rPr>
          <w:rFonts w:ascii="宋体" w:hAnsi="宋体" w:eastAsia="宋体" w:cs="宋体"/>
          <w:color w:val="000000" w:themeColor="text1"/>
          <w:kern w:val="0"/>
          <w:sz w:val="24"/>
          <w:szCs w:val="24"/>
          <w:lang w:val="en-US" w:eastAsia="zh-CN" w:bidi="ar"/>
          <w14:textFill>
            <w14:solidFill>
              <w14:schemeClr w14:val="tx1"/>
            </w14:solidFill>
          </w14:textFill>
        </w:rPr>
        <w:t>若经核查，乙方存在更换配件不合格、维保不到位、以次充好等违约问题，视同乙方违约，由乙方承担全部整改及赔偿责任。</w:t>
      </w:r>
    </w:p>
    <w:p w14:paraId="1B06AED5">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6.</w:t>
      </w:r>
      <w:r>
        <w:rPr>
          <w:rFonts w:ascii="宋体" w:hAnsi="宋体" w:eastAsia="宋体" w:cs="宋体"/>
          <w:color w:val="000000" w:themeColor="text1"/>
          <w:kern w:val="0"/>
          <w:sz w:val="24"/>
          <w:szCs w:val="24"/>
          <w:lang w:val="en-US" w:eastAsia="zh-CN" w:bidi="ar"/>
          <w14:textFill>
            <w14:solidFill>
              <w14:schemeClr w14:val="tx1"/>
            </w14:solidFill>
          </w14:textFill>
        </w:rPr>
        <w:t>乙方保证本项目维保所用配件、提供的服务无权利瑕疵，若发生第三方维权、行政查处等情况，乙方按合同总价20%支付违约金</w:t>
      </w:r>
      <w:r>
        <w:rPr>
          <w:rFonts w:hint="eastAsia" w:ascii="宋体" w:hAnsi="宋体" w:eastAsia="宋体" w:cs="宋体"/>
          <w:color w:val="000000" w:themeColor="text1"/>
          <w:kern w:val="0"/>
          <w:sz w:val="24"/>
          <w:szCs w:val="24"/>
          <w:lang w:val="en-US" w:eastAsia="zh-CN" w:bidi="ar"/>
          <w14:textFill>
            <w14:solidFill>
              <w14:schemeClr w14:val="tx1"/>
            </w14:solidFill>
          </w14:textFill>
        </w:rPr>
        <w:t>并</w:t>
      </w:r>
      <w:r>
        <w:rPr>
          <w:rFonts w:ascii="宋体" w:hAnsi="宋体" w:eastAsia="宋体" w:cs="宋体"/>
          <w:color w:val="000000" w:themeColor="text1"/>
          <w:kern w:val="0"/>
          <w:sz w:val="24"/>
          <w:szCs w:val="24"/>
          <w:lang w:val="en-US" w:eastAsia="zh-CN" w:bidi="ar"/>
          <w14:textFill>
            <w14:solidFill>
              <w14:schemeClr w14:val="tx1"/>
            </w14:solidFill>
          </w14:textFill>
        </w:rPr>
        <w:t>赔偿甲方全部损失。</w:t>
      </w:r>
    </w:p>
    <w:p w14:paraId="7F740B61">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7.</w:t>
      </w:r>
      <w:r>
        <w:rPr>
          <w:rFonts w:ascii="宋体" w:hAnsi="宋体" w:eastAsia="宋体" w:cs="宋体"/>
          <w:color w:val="000000" w:themeColor="text1"/>
          <w:kern w:val="0"/>
          <w:sz w:val="24"/>
          <w:szCs w:val="24"/>
          <w:lang w:val="en-US" w:eastAsia="zh-CN" w:bidi="ar"/>
          <w14:textFill>
            <w14:solidFill>
              <w14:schemeClr w14:val="tx1"/>
            </w14:solidFill>
          </w14:textFill>
        </w:rPr>
        <w:t>乙方偿付的违约金不足以弥补甲方损失的，还应补足差额赔偿金。</w:t>
      </w:r>
    </w:p>
    <w:p w14:paraId="4A31C80C">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8.</w:t>
      </w:r>
      <w:r>
        <w:rPr>
          <w:rFonts w:ascii="宋体" w:hAnsi="宋体" w:eastAsia="宋体" w:cs="宋体"/>
          <w:color w:val="000000" w:themeColor="text1"/>
          <w:kern w:val="0"/>
          <w:sz w:val="24"/>
          <w:szCs w:val="24"/>
          <w:lang w:val="en-US" w:eastAsia="zh-CN" w:bidi="ar"/>
          <w14:textFill>
            <w14:solidFill>
              <w14:schemeClr w14:val="tx1"/>
            </w14:solidFill>
          </w14:textFill>
        </w:rPr>
        <w:t>乙方未按约定提供质保、巡检、应急维修服务的，每出现一次按合同总价款5%支付违约金，甲方有权委托第三方开展维保，产生费用由乙方全额承担；累计三次及以上，甲方有权单方解除合同且不承担任何违约责任。</w:t>
      </w:r>
    </w:p>
    <w:p w14:paraId="77C6E6FB">
      <w:pPr>
        <w:keepNext w:val="0"/>
        <w:keepLines w:val="0"/>
        <w:widowControl/>
        <w:suppressLineNumbers w:val="0"/>
        <w:jc w:val="left"/>
        <w:rPr>
          <w:rFonts w:hint="eastAsia" w:eastAsia="宋体"/>
          <w:color w:val="000000" w:themeColor="text1"/>
          <w:lang w:val="en-US" w:eastAsia="zh-CN"/>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9.</w:t>
      </w:r>
      <w:r>
        <w:rPr>
          <w:rFonts w:ascii="宋体" w:hAnsi="宋体" w:eastAsia="宋体" w:cs="宋体"/>
          <w:color w:val="000000" w:themeColor="text1"/>
          <w:sz w:val="24"/>
          <w:szCs w:val="24"/>
          <w14:textFill>
            <w14:solidFill>
              <w14:schemeClr w14:val="tx1"/>
            </w14:solidFill>
          </w14:textFill>
        </w:rPr>
        <w:t>清单内配件，若供应商报价高于双方共同询价均价的200%，视为乙方违约</w:t>
      </w:r>
      <w:r>
        <w:rPr>
          <w:rFonts w:hint="eastAsia" w:ascii="宋体" w:hAnsi="宋体" w:eastAsia="宋体" w:cs="宋体"/>
          <w:color w:val="000000" w:themeColor="text1"/>
          <w:sz w:val="24"/>
          <w:szCs w:val="24"/>
          <w:lang w:eastAsia="zh-CN"/>
          <w14:textFill>
            <w14:solidFill>
              <w14:schemeClr w14:val="tx1"/>
            </w14:solidFill>
          </w14:textFill>
        </w:rPr>
        <w:t>，</w:t>
      </w:r>
      <w:r>
        <w:rPr>
          <w:rFonts w:ascii="宋体" w:hAnsi="宋体" w:eastAsia="宋体" w:cs="宋体"/>
          <w:color w:val="000000" w:themeColor="text1"/>
          <w:kern w:val="0"/>
          <w:sz w:val="24"/>
          <w:szCs w:val="24"/>
          <w:lang w:val="en-US" w:eastAsia="zh-CN" w:bidi="ar"/>
          <w14:textFill>
            <w14:solidFill>
              <w14:schemeClr w14:val="tx1"/>
            </w14:solidFill>
          </w14:textFill>
        </w:rPr>
        <w:t>乙方按合同总价20%支付违约金</w:t>
      </w:r>
      <w:r>
        <w:rPr>
          <w:rFonts w:hint="eastAsia" w:ascii="宋体" w:hAnsi="宋体" w:eastAsia="宋体" w:cs="宋体"/>
          <w:color w:val="000000" w:themeColor="text1"/>
          <w:kern w:val="0"/>
          <w:sz w:val="24"/>
          <w:szCs w:val="24"/>
          <w:lang w:val="en-US" w:eastAsia="zh-CN" w:bidi="ar"/>
          <w14:textFill>
            <w14:solidFill>
              <w14:schemeClr w14:val="tx1"/>
            </w14:solidFill>
          </w14:textFill>
        </w:rPr>
        <w:t>并</w:t>
      </w:r>
      <w:r>
        <w:rPr>
          <w:rFonts w:ascii="宋体" w:hAnsi="宋体" w:eastAsia="宋体" w:cs="宋体"/>
          <w:color w:val="000000" w:themeColor="text1"/>
          <w:kern w:val="0"/>
          <w:sz w:val="24"/>
          <w:szCs w:val="24"/>
          <w:lang w:val="en-US" w:eastAsia="zh-CN" w:bidi="ar"/>
          <w14:textFill>
            <w14:solidFill>
              <w14:schemeClr w14:val="tx1"/>
            </w14:solidFill>
          </w14:textFill>
        </w:rPr>
        <w:t>赔偿甲方全部损失。</w:t>
      </w:r>
    </w:p>
    <w:p w14:paraId="711E6DF1">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八、争议解决办法</w:t>
      </w:r>
    </w:p>
    <w:p w14:paraId="7694E960">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（1）在执行本合同中发生的或与本合同有关的争端，双方应通过友好协商解决，经协商在60天内不能达成协议时，双方均有权向</w:t>
      </w:r>
      <w:r>
        <w:rPr>
          <w:rFonts w:hint="eastAsia" w:ascii="宋体" w:hAnsi="宋体" w:eastAsia="宋体" w:cs="宋体"/>
          <w:color w:val="000000" w:themeColor="text1"/>
          <w:kern w:val="0"/>
          <w:sz w:val="24"/>
          <w:szCs w:val="24"/>
          <w:lang w:val="en-US" w:eastAsia="zh-CN" w:bidi="ar"/>
          <w14:textFill>
            <w14:solidFill>
              <w14:schemeClr w14:val="tx1"/>
            </w14:solidFill>
          </w14:textFill>
        </w:rPr>
        <w:t>甲方</w:t>
      </w:r>
      <w:r>
        <w:rPr>
          <w:rFonts w:ascii="宋体" w:hAnsi="宋体" w:eastAsia="宋体" w:cs="宋体"/>
          <w:color w:val="000000" w:themeColor="text1"/>
          <w:kern w:val="0"/>
          <w:sz w:val="24"/>
          <w:szCs w:val="24"/>
          <w:lang w:val="en-US" w:eastAsia="zh-CN" w:bidi="ar"/>
          <w14:textFill>
            <w14:solidFill>
              <w14:schemeClr w14:val="tx1"/>
            </w14:solidFill>
          </w14:textFill>
        </w:rPr>
        <w:t>所在地人民法院提起诉讼。</w:t>
      </w:r>
    </w:p>
    <w:p w14:paraId="029E9340">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（2）合同落款处双方通讯地址视为双方确认送达地址，适用于双方文件、函件往来、法院文书送达等。</w:t>
      </w:r>
      <w:r>
        <w:rPr>
          <w:rFonts w:hint="eastAsia" w:ascii="宋体" w:hAnsi="宋体" w:eastAsia="宋体" w:cs="宋体"/>
          <w:color w:val="000000" w:themeColor="text1"/>
          <w:kern w:val="0"/>
          <w:sz w:val="24"/>
          <w:szCs w:val="24"/>
          <w:lang w:val="en-US" w:eastAsia="zh-CN" w:bidi="ar"/>
          <w14:textFill>
            <w14:solidFill>
              <w14:schemeClr w14:val="tx1"/>
            </w14:solidFill>
          </w14:textFill>
        </w:rPr>
        <w:t>乙方</w:t>
      </w:r>
      <w:r>
        <w:rPr>
          <w:rFonts w:ascii="宋体" w:hAnsi="宋体" w:eastAsia="宋体" w:cs="宋体"/>
          <w:color w:val="000000" w:themeColor="text1"/>
          <w:kern w:val="0"/>
          <w:sz w:val="24"/>
          <w:szCs w:val="24"/>
          <w:lang w:val="en-US" w:eastAsia="zh-CN" w:bidi="ar"/>
          <w14:textFill>
            <w14:solidFill>
              <w14:schemeClr w14:val="tx1"/>
            </w14:solidFill>
          </w14:textFill>
        </w:rPr>
        <w:t>地址变更应当书面告知</w:t>
      </w:r>
      <w:r>
        <w:rPr>
          <w:rFonts w:hint="eastAsia" w:ascii="宋体" w:hAnsi="宋体" w:eastAsia="宋体" w:cs="宋体"/>
          <w:color w:val="000000" w:themeColor="text1"/>
          <w:kern w:val="0"/>
          <w:sz w:val="24"/>
          <w:szCs w:val="24"/>
          <w:lang w:val="en-US" w:eastAsia="zh-CN" w:bidi="ar"/>
          <w14:textFill>
            <w14:solidFill>
              <w14:schemeClr w14:val="tx1"/>
            </w14:solidFill>
          </w14:textFill>
        </w:rPr>
        <w:t>甲方</w:t>
      </w:r>
      <w:r>
        <w:rPr>
          <w:rFonts w:ascii="宋体" w:hAnsi="宋体" w:eastAsia="宋体" w:cs="宋体"/>
          <w:color w:val="000000" w:themeColor="text1"/>
          <w:kern w:val="0"/>
          <w:sz w:val="24"/>
          <w:szCs w:val="24"/>
          <w:lang w:val="en-US" w:eastAsia="zh-CN" w:bidi="ar"/>
          <w14:textFill>
            <w14:solidFill>
              <w14:schemeClr w14:val="tx1"/>
            </w14:solidFill>
          </w14:textFill>
        </w:rPr>
        <w:t>，否则</w:t>
      </w:r>
      <w:r>
        <w:rPr>
          <w:rFonts w:hint="eastAsia" w:ascii="宋体" w:hAnsi="宋体" w:eastAsia="宋体" w:cs="宋体"/>
          <w:color w:val="000000" w:themeColor="text1"/>
          <w:kern w:val="0"/>
          <w:sz w:val="24"/>
          <w:szCs w:val="24"/>
          <w:lang w:val="en-US" w:eastAsia="zh-CN" w:bidi="ar"/>
          <w14:textFill>
            <w14:solidFill>
              <w14:schemeClr w14:val="tx1"/>
            </w14:solidFill>
          </w14:textFill>
        </w:rPr>
        <w:t>甲方</w:t>
      </w:r>
      <w:r>
        <w:rPr>
          <w:rFonts w:ascii="宋体" w:hAnsi="宋体" w:eastAsia="宋体" w:cs="宋体"/>
          <w:color w:val="000000" w:themeColor="text1"/>
          <w:kern w:val="0"/>
          <w:sz w:val="24"/>
          <w:szCs w:val="24"/>
          <w:lang w:val="en-US" w:eastAsia="zh-CN" w:bidi="ar"/>
          <w14:textFill>
            <w14:solidFill>
              <w14:schemeClr w14:val="tx1"/>
            </w14:solidFill>
          </w14:textFill>
        </w:rPr>
        <w:t>按照该地址送达视为有效送达。</w:t>
      </w:r>
    </w:p>
    <w:p w14:paraId="53C9C6DE">
      <w:pPr>
        <w:pStyle w:val="11"/>
        <w:keepNext w:val="0"/>
        <w:keepLines w:val="0"/>
        <w:pageBreakBefore w:val="0"/>
        <w:widowControl/>
        <w:kinsoku/>
        <w:wordWrap/>
        <w:overflowPunct/>
        <w:topLinePunct w:val="0"/>
        <w:autoSpaceDE/>
        <w:autoSpaceDN/>
        <w:bidi w:val="0"/>
        <w:adjustRightInd w:val="0"/>
        <w:snapToGrid w:val="0"/>
        <w:spacing w:line="280" w:lineRule="atLeast"/>
        <w:jc w:val="left"/>
        <w:textAlignment w:val="auto"/>
        <w:outlineLvl w:val="2"/>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九、合同生效及其他</w:t>
      </w:r>
    </w:p>
    <w:p w14:paraId="3D7F6B7C">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1 合同经双方法定代表人（或主要负责人）或授权委托代理人签字并加盖公章后生效。</w:t>
      </w:r>
    </w:p>
    <w:p w14:paraId="368EBA49">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2 合同履行中，甲方需追加与合同标的相同的改造服务的，在不改变合同其他条款的前提下签订的补充合同，方可作为主合同不可分割的一部分。</w:t>
      </w:r>
    </w:p>
    <w:p w14:paraId="44451843">
      <w:pPr>
        <w:keepNext w:val="0"/>
        <w:keepLines w:val="0"/>
        <w:widowControl/>
        <w:suppressLineNumbers w:val="0"/>
        <w:jc w:val="left"/>
        <w:rPr>
          <w:color w:val="000000" w:themeColor="text1"/>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3 如有未尽事宜，以</w:t>
      </w:r>
      <w:r>
        <w:rPr>
          <w:rFonts w:hint="eastAsia" w:ascii="宋体" w:hAnsi="宋体" w:eastAsia="宋体" w:cs="宋体"/>
          <w:color w:val="000000" w:themeColor="text1"/>
          <w:kern w:val="0"/>
          <w:sz w:val="24"/>
          <w:szCs w:val="24"/>
          <w:lang w:val="en-US" w:eastAsia="zh-CN" w:bidi="ar"/>
          <w14:textFill>
            <w14:solidFill>
              <w14:schemeClr w14:val="tx1"/>
            </w14:solidFill>
          </w14:textFill>
        </w:rPr>
        <w:t>集体议价公告</w:t>
      </w:r>
      <w:r>
        <w:rPr>
          <w:rFonts w:ascii="宋体" w:hAnsi="宋体" w:eastAsia="宋体" w:cs="宋体"/>
          <w:color w:val="000000" w:themeColor="text1"/>
          <w:kern w:val="0"/>
          <w:sz w:val="24"/>
          <w:szCs w:val="24"/>
          <w:lang w:val="en-US" w:eastAsia="zh-CN" w:bidi="ar"/>
          <w14:textFill>
            <w14:solidFill>
              <w14:schemeClr w14:val="tx1"/>
            </w14:solidFill>
          </w14:textFill>
        </w:rPr>
        <w:t>和符合</w:t>
      </w:r>
      <w:r>
        <w:rPr>
          <w:rFonts w:hint="eastAsia" w:ascii="宋体" w:hAnsi="宋体" w:eastAsia="宋体" w:cs="宋体"/>
          <w:color w:val="000000" w:themeColor="text1"/>
          <w:kern w:val="0"/>
          <w:sz w:val="24"/>
          <w:szCs w:val="24"/>
          <w:lang w:val="en-US" w:eastAsia="zh-CN" w:bidi="ar"/>
          <w14:textFill>
            <w14:solidFill>
              <w14:schemeClr w14:val="tx1"/>
            </w14:solidFill>
          </w14:textFill>
        </w:rPr>
        <w:t>集体议价公告</w:t>
      </w:r>
      <w:r>
        <w:rPr>
          <w:rFonts w:ascii="宋体" w:hAnsi="宋体" w:eastAsia="宋体" w:cs="宋体"/>
          <w:color w:val="000000" w:themeColor="text1"/>
          <w:kern w:val="0"/>
          <w:sz w:val="24"/>
          <w:szCs w:val="24"/>
          <w:lang w:val="en-US" w:eastAsia="zh-CN" w:bidi="ar"/>
          <w14:textFill>
            <w14:solidFill>
              <w14:schemeClr w14:val="tx1"/>
            </w14:solidFill>
          </w14:textFill>
        </w:rPr>
        <w:t>要求的响应文件为准。</w:t>
      </w:r>
    </w:p>
    <w:p w14:paraId="05605CD4">
      <w:pPr>
        <w:keepNext w:val="0"/>
        <w:keepLines w:val="0"/>
        <w:widowControl/>
        <w:suppressLineNumbers w:val="0"/>
        <w:jc w:val="left"/>
        <w:rPr>
          <w:rFonts w:hint="eastAsia" w:ascii="仿宋" w:hAnsi="仿宋" w:eastAsia="仿宋" w:cs="仿宋"/>
          <w:b/>
          <w:bCs/>
          <w:color w:val="000000" w:themeColor="text1"/>
          <w:sz w:val="24"/>
          <w:highlight w:val="lightGray"/>
          <w14:textFill>
            <w14:solidFill>
              <w14:schemeClr w14:val="tx1"/>
            </w14:solidFill>
          </w14:textFill>
        </w:rPr>
      </w:pPr>
      <w:r>
        <w:rPr>
          <w:rFonts w:ascii="宋体" w:hAnsi="宋体" w:eastAsia="宋体" w:cs="宋体"/>
          <w:color w:val="000000" w:themeColor="text1"/>
          <w:kern w:val="0"/>
          <w:sz w:val="24"/>
          <w:szCs w:val="24"/>
          <w:lang w:val="en-US" w:eastAsia="zh-CN" w:bidi="ar"/>
          <w14:textFill>
            <w14:solidFill>
              <w14:schemeClr w14:val="tx1"/>
            </w14:solidFill>
          </w14:textFill>
        </w:rPr>
        <w:t>4 本合同一式伍份，自双方签章之日起生效。甲方持有肆份，乙方持有壹份，均具有同等法律效力。</w:t>
      </w:r>
    </w:p>
    <w:p w14:paraId="2CD0CBD1">
      <w:pPr>
        <w:keepNext w:val="0"/>
        <w:keepLines w:val="0"/>
        <w:pageBreakBefore w:val="0"/>
        <w:widowControl w:val="0"/>
        <w:kinsoku/>
        <w:wordWrap/>
        <w:overflowPunct/>
        <w:topLinePunct w:val="0"/>
        <w:autoSpaceDE/>
        <w:autoSpaceDN/>
        <w:bidi w:val="0"/>
        <w:snapToGrid w:val="0"/>
        <w:spacing w:line="360" w:lineRule="auto"/>
        <w:ind w:left="5301" w:hanging="5301" w:hangingChars="2200"/>
        <w:outlineLvl w:val="9"/>
        <w:rPr>
          <w:rFonts w:hint="default" w:ascii="仿宋" w:hAnsi="仿宋" w:eastAsia="仿宋" w:cs="仿宋"/>
          <w:bCs/>
          <w:color w:val="000000" w:themeColor="text1"/>
          <w:sz w:val="24"/>
          <w:highlight w:val="none"/>
          <w:lang w:val="en-US" w:eastAsia="zh-CN"/>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甲方：</w:t>
      </w:r>
      <w:r>
        <w:rPr>
          <w:rFonts w:hint="eastAsia" w:ascii="仿宋" w:hAnsi="仿宋" w:eastAsia="仿宋" w:cs="仿宋"/>
          <w:bCs/>
          <w:color w:val="000000" w:themeColor="text1"/>
          <w:sz w:val="24"/>
          <w:highlight w:val="none"/>
          <w14:textFill>
            <w14:solidFill>
              <w14:schemeClr w14:val="tx1"/>
            </w14:solidFill>
          </w14:textFill>
        </w:rPr>
        <w:t>（盖章）</w:t>
      </w:r>
      <w:r>
        <w:rPr>
          <w:rFonts w:hint="eastAsia" w:ascii="仿宋" w:hAnsi="仿宋" w:eastAsia="仿宋" w:cs="仿宋"/>
          <w:bCs/>
          <w:color w:val="000000" w:themeColor="text1"/>
          <w:sz w:val="24"/>
          <w:highlight w:val="none"/>
          <w:lang w:val="en-US" w:eastAsia="zh-CN"/>
          <w14:textFill>
            <w14:solidFill>
              <w14:schemeClr w14:val="tx1"/>
            </w14:solidFill>
          </w14:textFill>
        </w:rPr>
        <w:t>资阳市精神病医院</w:t>
      </w:r>
      <w:r>
        <w:rPr>
          <w:rFonts w:hint="eastAsia" w:ascii="仿宋" w:hAnsi="仿宋" w:eastAsia="仿宋" w:cs="仿宋"/>
          <w:bCs/>
          <w:color w:val="000000" w:themeColor="text1"/>
          <w:sz w:val="24"/>
          <w:highlight w:val="none"/>
          <w14:textFill>
            <w14:solidFill>
              <w14:schemeClr w14:val="tx1"/>
            </w14:solidFill>
          </w14:textFill>
        </w:rPr>
        <w:t xml:space="preserve">        </w:t>
      </w:r>
      <w:r>
        <w:rPr>
          <w:rFonts w:hint="eastAsia" w:ascii="仿宋" w:hAnsi="仿宋" w:eastAsia="仿宋" w:cs="仿宋"/>
          <w:b/>
          <w:bCs/>
          <w:color w:val="000000" w:themeColor="text1"/>
          <w:sz w:val="24"/>
          <w:highlight w:val="none"/>
          <w14:textFill>
            <w14:solidFill>
              <w14:schemeClr w14:val="tx1"/>
            </w14:solidFill>
          </w14:textFill>
        </w:rPr>
        <w:t>乙方：</w:t>
      </w:r>
      <w:r>
        <w:rPr>
          <w:rFonts w:hint="eastAsia" w:ascii="仿宋" w:hAnsi="仿宋" w:eastAsia="仿宋" w:cs="仿宋"/>
          <w:bCs/>
          <w:color w:val="000000" w:themeColor="text1"/>
          <w:sz w:val="24"/>
          <w:highlight w:val="none"/>
          <w14:textFill>
            <w14:solidFill>
              <w14:schemeClr w14:val="tx1"/>
            </w14:solidFill>
          </w14:textFill>
        </w:rPr>
        <w:t>（盖章）</w:t>
      </w:r>
    </w:p>
    <w:p w14:paraId="5963F318">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法定代表人（授权代表）：</w:t>
      </w:r>
      <w:r>
        <w:rPr>
          <w:rFonts w:hint="eastAsia" w:ascii="仿宋" w:hAnsi="仿宋" w:eastAsia="仿宋" w:cs="仿宋"/>
          <w:bCs/>
          <w:color w:val="000000" w:themeColor="text1"/>
          <w:sz w:val="24"/>
          <w:highlight w:val="none"/>
          <w14:textFill>
            <w14:solidFill>
              <w14:schemeClr w14:val="tx1"/>
            </w14:solidFill>
          </w14:textFill>
        </w:rPr>
        <w:t xml:space="preserve">              </w:t>
      </w:r>
      <w:r>
        <w:rPr>
          <w:rFonts w:hint="eastAsia" w:ascii="仿宋" w:hAnsi="仿宋" w:eastAsia="仿宋" w:cs="仿宋"/>
          <w:b/>
          <w:bCs/>
          <w:color w:val="000000" w:themeColor="text1"/>
          <w:sz w:val="24"/>
          <w:highlight w:val="none"/>
          <w14:textFill>
            <w14:solidFill>
              <w14:schemeClr w14:val="tx1"/>
            </w14:solidFill>
          </w14:textFill>
        </w:rPr>
        <w:t>法定代表人（授权代表）：</w:t>
      </w:r>
    </w:p>
    <w:p w14:paraId="4A05E2FC">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地    址：                            地    址：</w:t>
      </w:r>
    </w:p>
    <w:p w14:paraId="60758107">
      <w:pPr>
        <w:keepNext w:val="0"/>
        <w:keepLines w:val="0"/>
        <w:pageBreakBefore w:val="0"/>
        <w:widowControl w:val="0"/>
        <w:kinsoku/>
        <w:wordWrap/>
        <w:overflowPunct/>
        <w:topLinePunct w:val="0"/>
        <w:autoSpaceDE/>
        <w:autoSpaceDN/>
        <w:bidi w:val="0"/>
        <w:snapToGrid w:val="0"/>
        <w:spacing w:line="360" w:lineRule="auto"/>
        <w:outlineLvl w:val="9"/>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电    话：</w:t>
      </w:r>
      <w:r>
        <w:rPr>
          <w:rFonts w:hint="eastAsia" w:ascii="仿宋" w:hAnsi="仿宋" w:eastAsia="仿宋" w:cs="仿宋"/>
          <w:bCs/>
          <w:color w:val="000000" w:themeColor="text1"/>
          <w:sz w:val="24"/>
          <w:highlight w:val="none"/>
          <w14:textFill>
            <w14:solidFill>
              <w14:schemeClr w14:val="tx1"/>
            </w14:solidFill>
          </w14:textFill>
        </w:rPr>
        <w:t xml:space="preserve">                            </w:t>
      </w:r>
      <w:r>
        <w:rPr>
          <w:rFonts w:hint="eastAsia" w:ascii="仿宋" w:hAnsi="仿宋" w:eastAsia="仿宋" w:cs="仿宋"/>
          <w:b/>
          <w:bCs/>
          <w:color w:val="000000" w:themeColor="text1"/>
          <w:sz w:val="24"/>
          <w:highlight w:val="none"/>
          <w14:textFill>
            <w14:solidFill>
              <w14:schemeClr w14:val="tx1"/>
            </w14:solidFill>
          </w14:textFill>
        </w:rPr>
        <w:t>电    话：</w:t>
      </w:r>
    </w:p>
    <w:p w14:paraId="2B1F607A">
      <w:pPr>
        <w:keepNext w:val="0"/>
        <w:keepLines w:val="0"/>
        <w:pageBreakBefore w:val="0"/>
        <w:widowControl w:val="0"/>
        <w:kinsoku/>
        <w:wordWrap/>
        <w:overflowPunct/>
        <w:topLinePunct w:val="0"/>
        <w:autoSpaceDE/>
        <w:autoSpaceDN/>
        <w:bidi w:val="0"/>
        <w:snapToGrid w:val="0"/>
        <w:spacing w:line="360" w:lineRule="auto"/>
        <w:outlineLvl w:val="9"/>
        <w:rPr>
          <w:rFonts w:hint="default"/>
          <w:color w:val="000000" w:themeColor="text1"/>
          <w:lang w:val="en-US" w:eastAsia="zh-CN"/>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签约日期：</w:t>
      </w:r>
      <w:r>
        <w:rPr>
          <w:rFonts w:hint="eastAsia" w:ascii="仿宋" w:hAnsi="仿宋" w:eastAsia="仿宋" w:cs="仿宋"/>
          <w:b/>
          <w:bCs/>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4"/>
          <w:highlight w:val="none"/>
          <w14:textFill>
            <w14:solidFill>
              <w14:schemeClr w14:val="tx1"/>
            </w14:solidFill>
          </w14:textFill>
        </w:rPr>
        <w:t>年</w:t>
      </w:r>
      <w:r>
        <w:rPr>
          <w:rFonts w:hint="eastAsia" w:ascii="仿宋" w:hAnsi="仿宋" w:eastAsia="仿宋" w:cs="仿宋"/>
          <w:bCs/>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4"/>
          <w:highlight w:val="none"/>
          <w14:textFill>
            <w14:solidFill>
              <w14:schemeClr w14:val="tx1"/>
            </w14:solidFill>
          </w14:textFill>
        </w:rPr>
        <w:t>月</w:t>
      </w:r>
      <w:r>
        <w:rPr>
          <w:rFonts w:hint="eastAsia" w:ascii="仿宋" w:hAnsi="仿宋" w:eastAsia="仿宋" w:cs="仿宋"/>
          <w:bCs/>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4"/>
          <w:highlight w:val="none"/>
          <w14:textFill>
            <w14:solidFill>
              <w14:schemeClr w14:val="tx1"/>
            </w14:solidFill>
          </w14:textFill>
        </w:rPr>
        <w:t xml:space="preserve">日 </w:t>
      </w:r>
      <w:r>
        <w:rPr>
          <w:rFonts w:hint="eastAsia" w:ascii="仿宋" w:hAnsi="仿宋" w:eastAsia="仿宋" w:cs="仿宋"/>
          <w:bCs/>
          <w:color w:val="000000" w:themeColor="text1"/>
          <w:sz w:val="24"/>
          <w:highlight w:val="none"/>
          <w14:textFill>
            <w14:solidFill>
              <w14:schemeClr w14:val="tx1"/>
            </w14:solidFill>
          </w14:textFill>
        </w:rPr>
        <w:tab/>
      </w:r>
      <w:r>
        <w:rPr>
          <w:rFonts w:hint="eastAsia" w:ascii="仿宋" w:hAnsi="仿宋" w:eastAsia="仿宋" w:cs="仿宋"/>
          <w:bCs/>
          <w:color w:val="000000" w:themeColor="text1"/>
          <w:sz w:val="24"/>
          <w:highlight w:val="none"/>
          <w14:textFill>
            <w14:solidFill>
              <w14:schemeClr w14:val="tx1"/>
            </w14:solidFill>
          </w14:textFill>
        </w:rPr>
        <w:tab/>
      </w:r>
      <w:r>
        <w:rPr>
          <w:rFonts w:hint="eastAsia" w:ascii="仿宋" w:hAnsi="仿宋" w:eastAsia="仿宋" w:cs="仿宋"/>
          <w:bCs/>
          <w:color w:val="000000" w:themeColor="text1"/>
          <w:sz w:val="24"/>
          <w:highlight w:val="none"/>
          <w14:textFill>
            <w14:solidFill>
              <w14:schemeClr w14:val="tx1"/>
            </w14:solidFill>
          </w14:textFill>
        </w:rPr>
        <w:tab/>
      </w:r>
      <w:r>
        <w:rPr>
          <w:rFonts w:hint="eastAsia" w:ascii="仿宋" w:hAnsi="仿宋" w:eastAsia="仿宋" w:cs="仿宋"/>
          <w:bCs/>
          <w:color w:val="000000" w:themeColor="text1"/>
          <w:sz w:val="24"/>
          <w:highlight w:val="none"/>
          <w14:textFill>
            <w14:solidFill>
              <w14:schemeClr w14:val="tx1"/>
            </w14:solidFill>
          </w14:textFill>
        </w:rPr>
        <w:t xml:space="preserve">   </w:t>
      </w:r>
      <w:r>
        <w:rPr>
          <w:rFonts w:hint="eastAsia" w:ascii="仿宋" w:hAnsi="仿宋" w:eastAsia="仿宋" w:cs="仿宋"/>
          <w:b/>
          <w:bCs/>
          <w:color w:val="000000" w:themeColor="text1"/>
          <w:sz w:val="24"/>
          <w:highlight w:val="none"/>
          <w14:textFill>
            <w14:solidFill>
              <w14:schemeClr w14:val="tx1"/>
            </w14:solidFill>
          </w14:textFill>
        </w:rPr>
        <w:t>签约日期：</w:t>
      </w:r>
      <w:r>
        <w:rPr>
          <w:rFonts w:hint="eastAsia" w:ascii="仿宋" w:hAnsi="仿宋" w:eastAsia="仿宋" w:cs="仿宋"/>
          <w:bCs/>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4"/>
          <w:highlight w:val="none"/>
          <w14:textFill>
            <w14:solidFill>
              <w14:schemeClr w14:val="tx1"/>
            </w14:solidFill>
          </w14:textFill>
        </w:rPr>
        <w:t>年</w:t>
      </w:r>
      <w:r>
        <w:rPr>
          <w:rFonts w:hint="eastAsia" w:ascii="仿宋" w:hAnsi="仿宋" w:eastAsia="仿宋" w:cs="仿宋"/>
          <w:bCs/>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4"/>
          <w:highlight w:val="none"/>
          <w14:textFill>
            <w14:solidFill>
              <w14:schemeClr w14:val="tx1"/>
            </w14:solidFill>
          </w14:textFill>
        </w:rPr>
        <w:t>月</w:t>
      </w:r>
      <w:r>
        <w:rPr>
          <w:rFonts w:hint="eastAsia" w:ascii="仿宋" w:hAnsi="仿宋" w:eastAsia="仿宋" w:cs="仿宋"/>
          <w:bCs/>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bCs/>
          <w:color w:val="000000" w:themeColor="text1"/>
          <w:sz w:val="24"/>
          <w:highlight w:val="none"/>
          <w14:textFill>
            <w14:solidFill>
              <w14:schemeClr w14:val="tx1"/>
            </w14:solidFill>
          </w14:textFill>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392D3A"/>
    <w:rsid w:val="06AB342C"/>
    <w:rsid w:val="0C67135E"/>
    <w:rsid w:val="0D3379B8"/>
    <w:rsid w:val="192D1E41"/>
    <w:rsid w:val="1D8554D8"/>
    <w:rsid w:val="1EC25648"/>
    <w:rsid w:val="21725589"/>
    <w:rsid w:val="24A760D6"/>
    <w:rsid w:val="2A8433D1"/>
    <w:rsid w:val="2CF05B54"/>
    <w:rsid w:val="2DEC1D39"/>
    <w:rsid w:val="311F5753"/>
    <w:rsid w:val="338E3E44"/>
    <w:rsid w:val="3589141A"/>
    <w:rsid w:val="378F16CE"/>
    <w:rsid w:val="39A4531B"/>
    <w:rsid w:val="420E0E1E"/>
    <w:rsid w:val="69392D3A"/>
    <w:rsid w:val="6FF175DA"/>
    <w:rsid w:val="70417E38"/>
    <w:rsid w:val="790C44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样式 首行缩进:  2 字符"/>
    <w:basedOn w:val="1"/>
    <w:qFormat/>
    <w:uiPriority w:val="0"/>
    <w:pPr>
      <w:spacing w:line="400" w:lineRule="exact"/>
      <w:ind w:firstLine="200" w:firstLineChars="200"/>
    </w:pPr>
    <w:rPr>
      <w:rFonts w:cs="宋体"/>
      <w:sz w:val="24"/>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2933</Words>
  <Characters>3061</Characters>
  <Lines>0</Lines>
  <Paragraphs>0</Paragraphs>
  <TotalTime>3</TotalTime>
  <ScaleCrop>false</ScaleCrop>
  <LinksUpToDate>false</LinksUpToDate>
  <CharactersWithSpaces>3195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2026-09-10T08:25:00Z</dcterms:created>
  <dc:creator>WPS_1707123975</dc:creator>
  <cp:lastModifiedBy>WPS_1707123975</cp:lastModifiedBy>
  <cp:lastPrinted>2026-10-16T00:20:51Z</cp:lastPrinted>
  <dcterms:modified xsi:type="dcterms:W3CDTF">2026-10-16T00:20:54Z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299AFEEADF7F42D7917C5592FB2B4359_11</vt:lpwstr>
  </property>
  <property fmtid="{D5CDD505-2E9C-101B-9397-08002B2CF9AE}" pid="4" name="KSOTemplateDocerSaveRecord">
    <vt:lpwstr>eyJoZGlkIjoiNGEyN2E0NDc4YTIwYWNhZTkzNDk5OTJlMjcyMDdjMzYiLCJ1c2VySWQiOiIxNTc4NTYyMzkwIn0=</vt:lpwstr>
  </property>
</Properties>
</file>