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29864">
      <w:pPr>
        <w:spacing w:line="360" w:lineRule="auto"/>
        <w:jc w:val="center"/>
        <w:rPr>
          <w:rFonts w:hint="eastAsia" w:ascii="宋体" w:eastAsia="宋体"/>
          <w:b/>
          <w:bCs/>
          <w:sz w:val="32"/>
          <w:szCs w:val="32"/>
          <w:lang w:val="en-US" w:eastAsia="zh-CN"/>
        </w:rPr>
      </w:pPr>
      <w:r>
        <w:rPr>
          <w:rFonts w:hint="eastAsia" w:ascii="宋体" w:hAnsi="宋体" w:cs="宋体"/>
          <w:b/>
          <w:bCs/>
          <w:sz w:val="32"/>
          <w:szCs w:val="32"/>
        </w:rPr>
        <w:t>计量检定服务采购合同</w:t>
      </w:r>
      <w:r>
        <w:rPr>
          <w:rFonts w:hint="eastAsia" w:ascii="宋体" w:hAnsi="宋体" w:cs="宋体"/>
          <w:b/>
          <w:bCs/>
          <w:sz w:val="32"/>
          <w:szCs w:val="32"/>
          <w:lang w:val="en-US" w:eastAsia="zh-CN"/>
        </w:rPr>
        <w:t>文本</w:t>
      </w:r>
    </w:p>
    <w:p w14:paraId="40324C31">
      <w:pPr>
        <w:spacing w:line="360" w:lineRule="auto"/>
        <w:rPr>
          <w:rFonts w:ascii="宋体"/>
          <w:b/>
          <w:bCs/>
          <w:sz w:val="24"/>
          <w:szCs w:val="24"/>
        </w:rPr>
      </w:pPr>
    </w:p>
    <w:p w14:paraId="08B5116C">
      <w:pPr>
        <w:tabs>
          <w:tab w:val="left" w:pos="8190"/>
        </w:tabs>
        <w:spacing w:line="360" w:lineRule="auto"/>
        <w:ind w:right="106"/>
        <w:jc w:val="center"/>
        <w:rPr>
          <w:rFonts w:hint="eastAsia" w:ascii="宋体" w:eastAsia="宋体"/>
          <w:sz w:val="24"/>
          <w:szCs w:val="24"/>
          <w:lang w:val="en-US" w:eastAsia="zh-CN"/>
        </w:rPr>
      </w:pPr>
      <w:r>
        <w:rPr>
          <w:rFonts w:hint="eastAsia" w:ascii="宋体" w:hAnsi="宋体" w:cs="宋体"/>
          <w:sz w:val="24"/>
          <w:szCs w:val="24"/>
        </w:rPr>
        <w:t xml:space="preserve">                                       合同编号：</w:t>
      </w:r>
    </w:p>
    <w:p w14:paraId="56798E46">
      <w:pPr>
        <w:spacing w:line="360" w:lineRule="auto"/>
        <w:rPr>
          <w:rFonts w:hint="default" w:ascii="宋体" w:eastAsia="宋体"/>
          <w:sz w:val="24"/>
          <w:szCs w:val="24"/>
          <w:lang w:val="en-US" w:eastAsia="zh-CN"/>
        </w:rPr>
      </w:pPr>
      <w:r>
        <w:rPr>
          <w:rFonts w:hint="eastAsia" w:ascii="宋体" w:hAnsi="宋体" w:cs="宋体"/>
          <w:b/>
          <w:bCs/>
          <w:sz w:val="24"/>
          <w:szCs w:val="24"/>
        </w:rPr>
        <w:t>甲方（采购人）</w:t>
      </w:r>
      <w:r>
        <w:rPr>
          <w:rFonts w:hint="eastAsia" w:ascii="宋体" w:hAnsi="宋体" w:cs="宋体"/>
          <w:sz w:val="24"/>
          <w:szCs w:val="24"/>
        </w:rPr>
        <w:t>：资阳市</w:t>
      </w:r>
      <w:r>
        <w:rPr>
          <w:rFonts w:hint="eastAsia" w:ascii="宋体" w:hAnsi="宋体" w:cs="宋体"/>
          <w:sz w:val="24"/>
          <w:szCs w:val="24"/>
          <w:lang w:val="en-US" w:eastAsia="zh-CN"/>
        </w:rPr>
        <w:t>精神病医院</w:t>
      </w:r>
    </w:p>
    <w:p w14:paraId="378A1CA2">
      <w:pPr>
        <w:spacing w:line="360" w:lineRule="auto"/>
        <w:rPr>
          <w:rFonts w:hint="default" w:ascii="宋体" w:eastAsia="宋体"/>
          <w:sz w:val="24"/>
          <w:szCs w:val="24"/>
          <w:lang w:val="en-US" w:eastAsia="zh-CN"/>
        </w:rPr>
      </w:pPr>
      <w:r>
        <w:rPr>
          <w:rFonts w:hint="eastAsia" w:ascii="宋体" w:hAnsi="宋体" w:cs="宋体"/>
          <w:sz w:val="24"/>
          <w:szCs w:val="24"/>
        </w:rPr>
        <w:t>联系地址：</w:t>
      </w:r>
      <w:bookmarkStart w:id="0" w:name="_Hlk499037448"/>
      <w:r>
        <w:rPr>
          <w:rFonts w:hint="eastAsia" w:ascii="宋体" w:hAnsi="宋体" w:cs="宋体"/>
          <w:sz w:val="24"/>
          <w:szCs w:val="24"/>
        </w:rPr>
        <w:t>资阳市雁江区</w:t>
      </w:r>
      <w:bookmarkEnd w:id="0"/>
      <w:r>
        <w:rPr>
          <w:rFonts w:hint="eastAsia" w:ascii="宋体" w:hAnsi="宋体" w:cs="宋体"/>
          <w:sz w:val="24"/>
          <w:szCs w:val="24"/>
          <w:lang w:val="en-US" w:eastAsia="zh-CN"/>
        </w:rPr>
        <w:t>康乐南路203号</w:t>
      </w:r>
    </w:p>
    <w:p w14:paraId="36A86D4C">
      <w:pPr>
        <w:spacing w:line="360" w:lineRule="auto"/>
        <w:rPr>
          <w:rFonts w:ascii="宋体" w:hAnsi="宋体" w:cs="宋体"/>
          <w:sz w:val="24"/>
          <w:szCs w:val="24"/>
        </w:rPr>
      </w:pPr>
      <w:bookmarkStart w:id="1" w:name="_Hlk499037465"/>
      <w:r>
        <w:rPr>
          <w:rFonts w:hint="eastAsia" w:ascii="宋体" w:hAnsi="宋体" w:cs="宋体"/>
          <w:b/>
          <w:bCs/>
          <w:sz w:val="24"/>
          <w:szCs w:val="24"/>
        </w:rPr>
        <w:t>乙方（供货商）</w:t>
      </w:r>
      <w:r>
        <w:rPr>
          <w:rFonts w:hint="eastAsia" w:ascii="宋体" w:hAnsi="宋体" w:cs="宋体"/>
          <w:sz w:val="24"/>
          <w:szCs w:val="24"/>
        </w:rPr>
        <w:t>：资阳市</w:t>
      </w:r>
      <w:r>
        <w:rPr>
          <w:rFonts w:hint="eastAsia" w:ascii="宋体" w:hAnsi="宋体" w:cs="宋体"/>
          <w:sz w:val="24"/>
          <w:szCs w:val="24"/>
          <w:lang w:eastAsia="zh-CN"/>
        </w:rPr>
        <w:t>质量检验检测和计量检定测试中心（</w:t>
      </w:r>
      <w:r>
        <w:rPr>
          <w:rFonts w:hint="eastAsia" w:ascii="宋体" w:hAnsi="宋体" w:cs="宋体"/>
          <w:sz w:val="24"/>
          <w:szCs w:val="24"/>
          <w:lang w:val="en-US" w:eastAsia="zh-CN"/>
        </w:rPr>
        <w:t>资阳市纤维检验所</w:t>
      </w:r>
      <w:r>
        <w:rPr>
          <w:rFonts w:hint="eastAsia" w:ascii="宋体" w:hAnsi="宋体" w:cs="宋体"/>
          <w:sz w:val="24"/>
          <w:szCs w:val="24"/>
          <w:lang w:eastAsia="zh-CN"/>
        </w:rPr>
        <w:t>）</w:t>
      </w:r>
    </w:p>
    <w:p w14:paraId="206E9842">
      <w:pPr>
        <w:spacing w:line="360" w:lineRule="auto"/>
        <w:rPr>
          <w:rFonts w:ascii="宋体"/>
          <w:sz w:val="24"/>
          <w:szCs w:val="24"/>
        </w:rPr>
      </w:pPr>
      <w:r>
        <w:rPr>
          <w:rFonts w:hint="eastAsia" w:ascii="宋体" w:hAnsi="宋体" w:cs="宋体"/>
          <w:sz w:val="24"/>
          <w:szCs w:val="24"/>
        </w:rPr>
        <w:t>联系地址:资阳市雁江区兴旺路98号</w:t>
      </w:r>
    </w:p>
    <w:bookmarkEnd w:id="1"/>
    <w:p w14:paraId="1CA5C397">
      <w:pPr>
        <w:spacing w:line="360" w:lineRule="auto"/>
        <w:ind w:firstLine="480" w:firstLineChars="200"/>
        <w:rPr>
          <w:rFonts w:ascii="宋体"/>
          <w:sz w:val="24"/>
          <w:szCs w:val="24"/>
        </w:rPr>
      </w:pPr>
      <w:r>
        <w:rPr>
          <w:rFonts w:hint="eastAsia" w:ascii="宋体" w:hAnsi="宋体" w:cs="宋体"/>
          <w:sz w:val="24"/>
          <w:szCs w:val="24"/>
        </w:rPr>
        <w:t>依照《中华人民共和国民法典》及其他现行有关法律、法规、技术标准规范，本着平等、自愿、公平和诚实信用的原则，经双方协商同意，就本项目事项订立本合同，供双方遵守。</w:t>
      </w:r>
    </w:p>
    <w:p w14:paraId="7A3E259B">
      <w:pPr>
        <w:spacing w:line="360" w:lineRule="auto"/>
        <w:ind w:firstLine="482" w:firstLineChars="200"/>
        <w:rPr>
          <w:b/>
          <w:bCs/>
          <w:sz w:val="24"/>
          <w:szCs w:val="24"/>
        </w:rPr>
      </w:pPr>
      <w:r>
        <w:rPr>
          <w:rFonts w:hint="eastAsia" w:cs="宋体"/>
          <w:b/>
          <w:bCs/>
          <w:sz w:val="24"/>
          <w:szCs w:val="24"/>
        </w:rPr>
        <w:t>一、采购名称和内容</w:t>
      </w:r>
    </w:p>
    <w:tbl>
      <w:tblPr>
        <w:tblStyle w:val="14"/>
        <w:tblW w:w="91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1418"/>
        <w:gridCol w:w="2835"/>
        <w:gridCol w:w="1753"/>
        <w:gridCol w:w="882"/>
      </w:tblGrid>
      <w:tr w14:paraId="16E8F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auto" w:sz="4" w:space="0"/>
              <w:bottom w:val="single" w:color="auto" w:sz="4" w:space="0"/>
              <w:right w:val="single" w:color="auto" w:sz="4" w:space="0"/>
            </w:tcBorders>
            <w:vAlign w:val="center"/>
          </w:tcPr>
          <w:p w14:paraId="1C3D1546">
            <w:pPr>
              <w:jc w:val="center"/>
              <w:rPr>
                <w:rFonts w:ascii="宋体"/>
                <w:b/>
                <w:bCs/>
              </w:rPr>
            </w:pPr>
            <w:r>
              <w:rPr>
                <w:rFonts w:hint="eastAsia" w:ascii="宋体" w:hAnsi="宋体" w:cs="宋体"/>
                <w:b/>
                <w:bCs/>
              </w:rPr>
              <w:t>项目名称</w:t>
            </w:r>
          </w:p>
        </w:tc>
        <w:tc>
          <w:tcPr>
            <w:tcW w:w="1418" w:type="dxa"/>
            <w:tcBorders>
              <w:top w:val="single" w:color="auto" w:sz="4" w:space="0"/>
              <w:bottom w:val="single" w:color="auto" w:sz="4" w:space="0"/>
              <w:right w:val="single" w:color="auto" w:sz="4" w:space="0"/>
            </w:tcBorders>
            <w:vAlign w:val="center"/>
          </w:tcPr>
          <w:p w14:paraId="4B2A4C99">
            <w:pPr>
              <w:jc w:val="center"/>
              <w:rPr>
                <w:rFonts w:ascii="宋体"/>
                <w:b/>
                <w:bCs/>
              </w:rPr>
            </w:pPr>
            <w:r>
              <w:rPr>
                <w:rFonts w:hint="eastAsia" w:ascii="宋体"/>
                <w:b/>
                <w:bCs/>
              </w:rPr>
              <w:t>项目内容</w:t>
            </w:r>
          </w:p>
        </w:tc>
        <w:tc>
          <w:tcPr>
            <w:tcW w:w="2835" w:type="dxa"/>
            <w:tcBorders>
              <w:top w:val="single" w:color="auto" w:sz="4" w:space="0"/>
              <w:left w:val="single" w:color="auto" w:sz="4" w:space="0"/>
              <w:bottom w:val="single" w:color="auto" w:sz="4" w:space="0"/>
              <w:right w:val="single" w:color="auto" w:sz="4" w:space="0"/>
            </w:tcBorders>
            <w:vAlign w:val="center"/>
          </w:tcPr>
          <w:p w14:paraId="43150298">
            <w:pPr>
              <w:jc w:val="center"/>
              <w:rPr>
                <w:rFonts w:ascii="宋体"/>
                <w:b/>
                <w:bCs/>
              </w:rPr>
            </w:pPr>
            <w:r>
              <w:rPr>
                <w:rFonts w:hint="eastAsia" w:ascii="宋体" w:hAnsi="宋体" w:cs="宋体"/>
                <w:b/>
                <w:bCs/>
              </w:rPr>
              <w:t>服务时间</w:t>
            </w:r>
          </w:p>
        </w:tc>
        <w:tc>
          <w:tcPr>
            <w:tcW w:w="1753" w:type="dxa"/>
            <w:tcBorders>
              <w:top w:val="single" w:color="auto" w:sz="4" w:space="0"/>
              <w:left w:val="single" w:color="auto" w:sz="4" w:space="0"/>
              <w:bottom w:val="single" w:color="auto" w:sz="4" w:space="0"/>
              <w:right w:val="single" w:color="auto" w:sz="4" w:space="0"/>
            </w:tcBorders>
            <w:vAlign w:val="center"/>
          </w:tcPr>
          <w:p w14:paraId="3AB38841">
            <w:pPr>
              <w:jc w:val="center"/>
              <w:rPr>
                <w:rFonts w:ascii="宋体"/>
                <w:b/>
                <w:bCs/>
              </w:rPr>
            </w:pPr>
            <w:r>
              <w:rPr>
                <w:rFonts w:hint="eastAsia" w:ascii="宋体" w:hAnsi="宋体" w:cs="宋体"/>
                <w:b/>
                <w:bCs/>
                <w:lang w:val="en-US" w:eastAsia="zh-CN"/>
              </w:rPr>
              <w:t>预计</w:t>
            </w:r>
            <w:r>
              <w:rPr>
                <w:rFonts w:hint="eastAsia" w:ascii="宋体" w:hAnsi="宋体" w:cs="宋体"/>
                <w:b/>
                <w:bCs/>
              </w:rPr>
              <w:t>总价</w:t>
            </w:r>
          </w:p>
          <w:p w14:paraId="4913408A">
            <w:pPr>
              <w:jc w:val="center"/>
              <w:rPr>
                <w:rFonts w:ascii="宋体"/>
                <w:b/>
                <w:bCs/>
              </w:rPr>
            </w:pPr>
            <w:r>
              <w:rPr>
                <w:rFonts w:hint="eastAsia" w:ascii="宋体" w:hAnsi="宋体" w:cs="宋体"/>
                <w:b/>
                <w:bCs/>
              </w:rPr>
              <w:t>（元）</w:t>
            </w:r>
          </w:p>
        </w:tc>
        <w:tc>
          <w:tcPr>
            <w:tcW w:w="882" w:type="dxa"/>
            <w:tcBorders>
              <w:top w:val="single" w:color="auto" w:sz="4" w:space="0"/>
              <w:left w:val="single" w:color="auto" w:sz="4" w:space="0"/>
              <w:bottom w:val="single" w:color="auto" w:sz="4" w:space="0"/>
            </w:tcBorders>
            <w:vAlign w:val="center"/>
          </w:tcPr>
          <w:p w14:paraId="59488F58">
            <w:pPr>
              <w:jc w:val="center"/>
              <w:rPr>
                <w:rFonts w:ascii="宋体"/>
                <w:b/>
                <w:bCs/>
              </w:rPr>
            </w:pPr>
            <w:r>
              <w:rPr>
                <w:rFonts w:hint="eastAsia" w:ascii="宋体" w:hAnsi="宋体" w:cs="宋体"/>
                <w:b/>
                <w:bCs/>
              </w:rPr>
              <w:t>备注</w:t>
            </w:r>
          </w:p>
        </w:tc>
      </w:tr>
      <w:tr w14:paraId="0F85A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auto" w:sz="4" w:space="0"/>
              <w:bottom w:val="single" w:color="auto" w:sz="4" w:space="0"/>
              <w:right w:val="single" w:color="auto" w:sz="4" w:space="0"/>
            </w:tcBorders>
            <w:vAlign w:val="center"/>
          </w:tcPr>
          <w:p w14:paraId="250B5B89">
            <w:pPr>
              <w:ind w:left="-105" w:leftChars="-50" w:right="-105" w:rightChars="-50"/>
              <w:jc w:val="center"/>
              <w:rPr>
                <w:rFonts w:ascii="宋体"/>
              </w:rPr>
            </w:pPr>
          </w:p>
        </w:tc>
        <w:tc>
          <w:tcPr>
            <w:tcW w:w="1418" w:type="dxa"/>
            <w:tcBorders>
              <w:top w:val="single" w:color="auto" w:sz="4" w:space="0"/>
              <w:bottom w:val="single" w:color="auto" w:sz="4" w:space="0"/>
              <w:right w:val="single" w:color="auto" w:sz="4" w:space="0"/>
            </w:tcBorders>
            <w:vAlign w:val="center"/>
          </w:tcPr>
          <w:p w14:paraId="7E7C7932">
            <w:pPr>
              <w:ind w:left="-105" w:leftChars="-50" w:right="-105" w:rightChars="-50"/>
              <w:jc w:val="center"/>
              <w:rPr>
                <w:rFonts w:ascii="宋体"/>
              </w:rPr>
            </w:pPr>
            <w:r>
              <w:rPr>
                <w:rFonts w:hint="eastAsia" w:ascii="宋体"/>
              </w:rPr>
              <w:t>详见附件</w:t>
            </w:r>
          </w:p>
        </w:tc>
        <w:tc>
          <w:tcPr>
            <w:tcW w:w="2835" w:type="dxa"/>
            <w:tcBorders>
              <w:top w:val="single" w:color="auto" w:sz="4" w:space="0"/>
              <w:left w:val="single" w:color="auto" w:sz="4" w:space="0"/>
              <w:bottom w:val="single" w:color="auto" w:sz="4" w:space="0"/>
              <w:right w:val="single" w:color="auto" w:sz="4" w:space="0"/>
            </w:tcBorders>
            <w:vAlign w:val="center"/>
          </w:tcPr>
          <w:p w14:paraId="7B1BA1E4">
            <w:pPr>
              <w:ind w:left="-105" w:leftChars="-50" w:right="-105" w:rightChars="-50"/>
              <w:jc w:val="center"/>
              <w:rPr>
                <w:rFonts w:ascii="宋体"/>
              </w:rPr>
            </w:pPr>
            <w:r>
              <w:rPr>
                <w:rFonts w:hint="eastAsia" w:ascii="宋体"/>
              </w:rPr>
              <w:t>自合同签订生效之日起1年</w:t>
            </w:r>
          </w:p>
        </w:tc>
        <w:tc>
          <w:tcPr>
            <w:tcW w:w="1753" w:type="dxa"/>
            <w:tcBorders>
              <w:top w:val="single" w:color="auto" w:sz="4" w:space="0"/>
              <w:left w:val="single" w:color="auto" w:sz="4" w:space="0"/>
              <w:bottom w:val="single" w:color="auto" w:sz="4" w:space="0"/>
              <w:right w:val="single" w:color="auto" w:sz="4" w:space="0"/>
            </w:tcBorders>
            <w:vAlign w:val="center"/>
          </w:tcPr>
          <w:p w14:paraId="024B9397">
            <w:pPr>
              <w:widowControl/>
              <w:snapToGrid w:val="0"/>
              <w:jc w:val="center"/>
              <w:outlineLvl w:val="1"/>
              <w:rPr>
                <w:rFonts w:hint="default" w:ascii="宋体"/>
                <w:lang w:val="en-US"/>
              </w:rPr>
            </w:pPr>
          </w:p>
        </w:tc>
        <w:tc>
          <w:tcPr>
            <w:tcW w:w="882" w:type="dxa"/>
            <w:tcBorders>
              <w:top w:val="single" w:color="auto" w:sz="4" w:space="0"/>
              <w:left w:val="single" w:color="auto" w:sz="4" w:space="0"/>
            </w:tcBorders>
            <w:vAlign w:val="center"/>
          </w:tcPr>
          <w:p w14:paraId="4F14EE5A">
            <w:pPr>
              <w:jc w:val="center"/>
              <w:rPr>
                <w:rFonts w:ascii="宋体"/>
              </w:rPr>
            </w:pPr>
          </w:p>
        </w:tc>
      </w:tr>
      <w:tr w14:paraId="5E552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56" w:type="dxa"/>
            <w:gridSpan w:val="5"/>
            <w:tcBorders>
              <w:top w:val="single" w:color="auto" w:sz="4" w:space="0"/>
              <w:bottom w:val="single" w:color="auto" w:sz="4" w:space="0"/>
            </w:tcBorders>
            <w:vAlign w:val="center"/>
          </w:tcPr>
          <w:p w14:paraId="6C93D731">
            <w:pPr>
              <w:rPr>
                <w:rFonts w:ascii="宋体"/>
                <w:b/>
                <w:bCs/>
              </w:rPr>
            </w:pPr>
            <w:r>
              <w:rPr>
                <w:rFonts w:hint="eastAsia" w:ascii="宋体" w:hAnsi="宋体" w:cs="宋体"/>
                <w:b/>
                <w:bCs/>
              </w:rPr>
              <w:t>含税合计：</w:t>
            </w:r>
            <w:r>
              <w:rPr>
                <w:rFonts w:hint="eastAsia" w:ascii="宋体" w:hAnsi="宋体" w:cs="宋体"/>
                <w:b/>
                <w:bCs/>
                <w:lang w:val="en-US" w:eastAsia="zh-CN"/>
              </w:rPr>
              <w:t xml:space="preserve">              </w:t>
            </w:r>
            <w:r>
              <w:rPr>
                <w:rFonts w:hint="eastAsia" w:ascii="宋体" w:hAnsi="宋体" w:cs="宋体"/>
                <w:b/>
                <w:bCs/>
              </w:rPr>
              <w:t>人民币大写：</w:t>
            </w:r>
          </w:p>
        </w:tc>
      </w:tr>
    </w:tbl>
    <w:p w14:paraId="211654BF">
      <w:pPr>
        <w:spacing w:line="360" w:lineRule="auto"/>
        <w:ind w:firstLine="482" w:firstLineChars="200"/>
        <w:rPr>
          <w:b/>
          <w:bCs/>
          <w:sz w:val="24"/>
          <w:szCs w:val="24"/>
        </w:rPr>
      </w:pPr>
      <w:r>
        <w:rPr>
          <w:rFonts w:hint="eastAsia" w:cs="宋体"/>
          <w:b/>
          <w:bCs/>
          <w:sz w:val="24"/>
          <w:szCs w:val="24"/>
        </w:rPr>
        <w:t>二、合同价款</w:t>
      </w:r>
    </w:p>
    <w:p w14:paraId="001ABE9A">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本合同含税总价为：</w:t>
      </w:r>
      <w:r>
        <w:rPr>
          <w:rFonts w:hint="eastAsia" w:ascii="宋体" w:hAnsi="宋体" w:cs="宋体"/>
          <w:sz w:val="24"/>
          <w:szCs w:val="24"/>
          <w:lang w:val="en-US" w:eastAsia="zh-CN"/>
        </w:rPr>
        <w:t xml:space="preserve">      （</w:t>
      </w:r>
      <w:r>
        <w:rPr>
          <w:rFonts w:hint="eastAsia" w:ascii="宋体" w:hAnsi="宋体" w:cs="宋体"/>
          <w:sz w:val="24"/>
          <w:szCs w:val="24"/>
          <w:u w:val="single"/>
        </w:rPr>
        <w:t>人民币大写：）</w:t>
      </w:r>
      <w:r>
        <w:rPr>
          <w:rFonts w:hint="eastAsia" w:ascii="宋体" w:hAnsi="宋体" w:cs="宋体"/>
          <w:sz w:val="24"/>
          <w:szCs w:val="24"/>
        </w:rPr>
        <w:t>。</w:t>
      </w:r>
    </w:p>
    <w:p w14:paraId="1E995F8B">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本</w:t>
      </w:r>
      <w:r>
        <w:rPr>
          <w:rFonts w:hint="eastAsia"/>
          <w:sz w:val="24"/>
          <w:szCs w:val="24"/>
        </w:rPr>
        <w:t>合同总价已包括完成服务期内设备计量检定的所有含税费用</w:t>
      </w:r>
      <w:r>
        <w:rPr>
          <w:rFonts w:hint="eastAsia"/>
          <w:sz w:val="24"/>
          <w:szCs w:val="24"/>
          <w:lang w:eastAsia="zh-CN"/>
        </w:rPr>
        <w:t>，</w:t>
      </w:r>
      <w:r>
        <w:rPr>
          <w:rFonts w:hint="eastAsia"/>
          <w:sz w:val="24"/>
          <w:szCs w:val="24"/>
          <w:lang w:val="en-US" w:eastAsia="zh-CN"/>
        </w:rPr>
        <w:t>最终以实际检测数量结算</w:t>
      </w:r>
      <w:r>
        <w:rPr>
          <w:rFonts w:hint="eastAsia"/>
          <w:sz w:val="24"/>
          <w:szCs w:val="24"/>
        </w:rPr>
        <w:t>。</w:t>
      </w:r>
    </w:p>
    <w:p w14:paraId="4893BF5B">
      <w:pPr>
        <w:spacing w:line="360" w:lineRule="auto"/>
        <w:ind w:firstLine="482" w:firstLineChars="200"/>
        <w:rPr>
          <w:b/>
          <w:bCs/>
          <w:sz w:val="24"/>
          <w:szCs w:val="24"/>
        </w:rPr>
      </w:pPr>
      <w:r>
        <w:rPr>
          <w:rFonts w:hint="eastAsia" w:cs="宋体"/>
          <w:b/>
          <w:bCs/>
          <w:sz w:val="24"/>
          <w:szCs w:val="24"/>
        </w:rPr>
        <w:t>三、服务要求</w:t>
      </w:r>
    </w:p>
    <w:p w14:paraId="130C8614">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交货时间：</w:t>
      </w:r>
      <w:r>
        <w:rPr>
          <w:rFonts w:hint="eastAsia" w:ascii="宋体" w:hAnsi="宋体" w:cs="宋体"/>
          <w:sz w:val="24"/>
          <w:szCs w:val="24"/>
          <w:lang w:eastAsia="zh-CN"/>
        </w:rPr>
        <w:t>乙方</w:t>
      </w:r>
      <w:r>
        <w:rPr>
          <w:rFonts w:hint="eastAsia" w:ascii="宋体" w:hAnsi="宋体" w:cs="宋体"/>
          <w:sz w:val="24"/>
          <w:szCs w:val="24"/>
          <w:lang w:val="en-US" w:eastAsia="zh-CN"/>
        </w:rPr>
        <w:t>根据甲方设备使用情况与数量制定计量服务计划，严格按照计划进行计量工作，具体计量工作时间及点位与甲方协商，确保各类设备在计量或检定有效期之内。乙方</w:t>
      </w:r>
      <w:r>
        <w:rPr>
          <w:rFonts w:hint="eastAsia" w:ascii="宋体" w:hAnsi="宋体" w:cs="宋体"/>
          <w:sz w:val="24"/>
          <w:szCs w:val="24"/>
        </w:rPr>
        <w:t>接到甲方计量检测通知后</w:t>
      </w:r>
      <w:r>
        <w:rPr>
          <w:rFonts w:ascii="宋体" w:hAnsi="宋体" w:cs="宋体"/>
          <w:sz w:val="24"/>
          <w:szCs w:val="24"/>
          <w:u w:val="single"/>
        </w:rPr>
        <w:t>3</w:t>
      </w:r>
      <w:r>
        <w:rPr>
          <w:rFonts w:ascii="宋体" w:cs="宋体"/>
          <w:sz w:val="24"/>
          <w:szCs w:val="24"/>
          <w:u w:val="single"/>
        </w:rPr>
        <w:t>0</w:t>
      </w:r>
      <w:r>
        <w:rPr>
          <w:rFonts w:hint="eastAsia" w:ascii="宋体" w:hAnsi="宋体" w:cs="宋体"/>
          <w:sz w:val="24"/>
          <w:szCs w:val="24"/>
        </w:rPr>
        <w:t>日内完成设备计量检测，确保设备处于计量有效期内。</w:t>
      </w:r>
    </w:p>
    <w:p w14:paraId="1EF46F91">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乙方拟派</w:t>
      </w:r>
      <w:r>
        <w:rPr>
          <w:rFonts w:hint="eastAsia" w:ascii="宋体" w:hAnsi="宋体" w:cs="宋体"/>
          <w:sz w:val="24"/>
          <w:szCs w:val="24"/>
          <w:lang w:val="en-US" w:eastAsia="zh-CN"/>
        </w:rPr>
        <w:t>3</w:t>
      </w:r>
      <w:r>
        <w:rPr>
          <w:rFonts w:hint="eastAsia" w:ascii="宋体" w:hAnsi="宋体" w:cs="宋体"/>
          <w:sz w:val="24"/>
          <w:szCs w:val="24"/>
        </w:rPr>
        <w:t>名检测人员</w:t>
      </w:r>
      <w:r>
        <w:rPr>
          <w:rFonts w:hint="eastAsia" w:ascii="宋体" w:hAnsi="宋体" w:cs="宋体"/>
          <w:sz w:val="24"/>
          <w:szCs w:val="24"/>
          <w:lang w:eastAsia="zh-CN"/>
        </w:rPr>
        <w:t>（具有计量检定资格）</w:t>
      </w:r>
      <w:r>
        <w:rPr>
          <w:rFonts w:hint="eastAsia" w:ascii="宋体" w:hAnsi="宋体" w:cs="宋体"/>
          <w:sz w:val="24"/>
          <w:szCs w:val="24"/>
        </w:rPr>
        <w:t>完成此项目。</w:t>
      </w:r>
      <w:bookmarkStart w:id="2" w:name="_GoBack"/>
      <w:bookmarkEnd w:id="2"/>
    </w:p>
    <w:p w14:paraId="5E73C6FF">
      <w:pPr>
        <w:spacing w:line="360" w:lineRule="auto"/>
        <w:ind w:firstLine="480" w:firstLineChars="200"/>
        <w:rPr>
          <w:rFonts w:ascii="宋体" w:hAnsi="宋体" w:cs="宋体"/>
          <w:sz w:val="24"/>
          <w:szCs w:val="24"/>
        </w:rPr>
      </w:pPr>
      <w:r>
        <w:rPr>
          <w:rFonts w:ascii="宋体" w:hAnsi="宋体" w:cs="宋体"/>
          <w:sz w:val="24"/>
          <w:szCs w:val="24"/>
        </w:rPr>
        <w:t>3</w:t>
      </w:r>
      <w:r>
        <w:rPr>
          <w:rFonts w:ascii="宋体" w:cs="宋体"/>
          <w:sz w:val="24"/>
          <w:szCs w:val="24"/>
        </w:rPr>
        <w:t>.</w:t>
      </w:r>
      <w:r>
        <w:rPr>
          <w:rFonts w:ascii="宋体" w:cs="宋体"/>
          <w:sz w:val="24"/>
          <w:szCs w:val="24"/>
        </w:rPr>
        <w:tab/>
      </w:r>
      <w:r>
        <w:rPr>
          <w:rFonts w:hint="eastAsia" w:ascii="宋体" w:hAnsi="宋体" w:cs="宋体"/>
          <w:sz w:val="24"/>
          <w:szCs w:val="24"/>
        </w:rPr>
        <w:t>计量检测时甲方指派人员全力配合、协调，乙方对计量人员与设备设施安全负责，计量过程中如发现不能开机、经检定需要进行维修以及检定不合格的类似问题可以要求甲方现场处理，如处理后仍不能满足检测条件，乙方将以书面提供不合格设备清单，告知甲方。工作结束后，保持现场环境卫生，确保甲方检定后的正常运行。</w:t>
      </w:r>
    </w:p>
    <w:p w14:paraId="5E0B1734">
      <w:pPr>
        <w:spacing w:line="360" w:lineRule="auto"/>
        <w:ind w:firstLine="480" w:firstLineChars="200"/>
        <w:rPr>
          <w:rFonts w:ascii="宋体" w:hAnsi="宋体" w:cs="宋体"/>
          <w:sz w:val="24"/>
          <w:szCs w:val="24"/>
        </w:rPr>
      </w:pPr>
      <w:r>
        <w:rPr>
          <w:rFonts w:ascii="宋体" w:hAnsi="宋体" w:cs="宋体"/>
          <w:sz w:val="24"/>
          <w:szCs w:val="24"/>
        </w:rPr>
        <w:t xml:space="preserve">4. </w:t>
      </w:r>
      <w:r>
        <w:rPr>
          <w:rFonts w:hint="eastAsia" w:ascii="宋体" w:hAnsi="宋体" w:cs="宋体"/>
          <w:sz w:val="24"/>
          <w:szCs w:val="24"/>
        </w:rPr>
        <w:t>对临时新增设备、周期性送检设备，乙方接到甲方计量检测通知后，15天内完成相应检测。</w:t>
      </w:r>
    </w:p>
    <w:p w14:paraId="365921F9">
      <w:pPr>
        <w:pStyle w:val="2"/>
        <w:spacing w:line="360" w:lineRule="auto"/>
        <w:ind w:leftChars="108" w:firstLine="240" w:firstLineChars="100"/>
        <w:rPr>
          <w:lang w:val="en-US"/>
        </w:rPr>
      </w:pPr>
      <w:r>
        <w:rPr>
          <w:rFonts w:hint="eastAsia"/>
          <w:lang w:val="en-US"/>
        </w:rPr>
        <w:t>5.乙方承诺对首检不合格设备经维修后提供一次免费复检。</w:t>
      </w:r>
    </w:p>
    <w:p w14:paraId="529520BF">
      <w:pPr>
        <w:pStyle w:val="2"/>
        <w:spacing w:line="360" w:lineRule="auto"/>
        <w:ind w:left="0" w:leftChars="0" w:firstLine="480" w:firstLineChars="200"/>
      </w:pPr>
      <w:r>
        <w:rPr>
          <w:rFonts w:hint="eastAsia"/>
          <w:lang w:val="en-US"/>
        </w:rPr>
        <w:t>6.</w:t>
      </w:r>
      <w:r>
        <w:rPr>
          <w:rFonts w:hint="eastAsia"/>
        </w:rPr>
        <w:t>乙方按照国家现行有效的计量检定规程和校准规范开展计量检定、校准工作，检定、校准完成后向甲方出具计量器具检定、校准报告，对检定、校准结果负责。对于检定清单需要检定、校准的内容全覆盖。</w:t>
      </w:r>
    </w:p>
    <w:p w14:paraId="6D01B720">
      <w:pPr>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7.服务地点：</w:t>
      </w:r>
      <w:r>
        <w:rPr>
          <w:rFonts w:hint="eastAsia" w:asciiTheme="majorEastAsia" w:hAnsiTheme="majorEastAsia" w:eastAsiaTheme="majorEastAsia" w:cstheme="majorEastAsia"/>
          <w:b w:val="0"/>
          <w:bCs w:val="0"/>
          <w:spacing w:val="0"/>
          <w:kern w:val="2"/>
          <w:sz w:val="22"/>
          <w:szCs w:val="22"/>
          <w:u w:val="none"/>
          <w:lang w:val="en-US" w:eastAsia="zh-CN" w:bidi="ar-SA"/>
        </w:rPr>
        <w:t>资阳市精神病医院，部分特定需要使用专用实验室检定的器具，由医院送指定地点检测。</w:t>
      </w:r>
    </w:p>
    <w:p w14:paraId="7A2492AB">
      <w:pPr>
        <w:pStyle w:val="2"/>
        <w:spacing w:line="360" w:lineRule="auto"/>
        <w:ind w:left="0" w:firstLine="480" w:firstLineChars="200"/>
        <w:rPr>
          <w:rFonts w:hint="eastAsia"/>
        </w:rPr>
      </w:pPr>
      <w:r>
        <w:rPr>
          <w:rFonts w:hint="eastAsia"/>
        </w:rPr>
        <w:t>8.验收方式及验收标准：严格按照《财政部关于进一步加强政府采购需求和履约验收管理的指导意见》（财库【2016】205号）的要求组织验收。</w:t>
      </w:r>
    </w:p>
    <w:p w14:paraId="424B0677">
      <w:pPr>
        <w:pStyle w:val="6"/>
        <w:widowControl w:val="0"/>
        <w:numPr>
          <w:ilvl w:val="-1"/>
          <w:numId w:val="0"/>
        </w:numPr>
        <w:snapToGrid w:val="0"/>
        <w:spacing w:line="360" w:lineRule="auto"/>
        <w:ind w:left="0" w:leftChars="0" w:firstLine="480" w:firstLineChars="200"/>
        <w:jc w:val="both"/>
        <w:rPr>
          <w:rFonts w:hint="eastAsia" w:ascii="宋体" w:hAnsi="宋体" w:eastAsia="宋体" w:cs="宋体"/>
          <w:b w:val="0"/>
          <w:bCs w:val="0"/>
          <w:kern w:val="2"/>
          <w:sz w:val="24"/>
          <w:szCs w:val="24"/>
          <w:u w:val="none"/>
          <w:lang w:val="zh-CN" w:eastAsia="zh-CN" w:bidi="ar-SA"/>
        </w:rPr>
      </w:pPr>
      <w:r>
        <w:rPr>
          <w:rFonts w:hint="eastAsia"/>
          <w:lang w:val="en-US" w:eastAsia="zh-CN"/>
        </w:rPr>
        <w:t xml:space="preserve"> 9.</w:t>
      </w:r>
      <w:r>
        <w:rPr>
          <w:rFonts w:hint="eastAsia" w:ascii="宋体" w:hAnsi="宋体" w:eastAsia="宋体" w:cs="宋体"/>
          <w:b w:val="0"/>
          <w:bCs w:val="0"/>
          <w:kern w:val="2"/>
          <w:sz w:val="24"/>
          <w:szCs w:val="24"/>
          <w:u w:val="none"/>
          <w:lang w:val="zh-CN" w:eastAsia="zh-CN" w:bidi="ar-SA"/>
        </w:rPr>
        <w:t>服务期限：自合同签订生效之日起1年。</w:t>
      </w:r>
    </w:p>
    <w:p w14:paraId="7D3D4AC6">
      <w:pPr>
        <w:spacing w:line="360" w:lineRule="auto"/>
        <w:ind w:firstLine="482" w:firstLineChars="200"/>
        <w:rPr>
          <w:b/>
          <w:bCs/>
          <w:sz w:val="24"/>
          <w:szCs w:val="24"/>
        </w:rPr>
      </w:pPr>
      <w:r>
        <w:rPr>
          <w:rFonts w:hint="eastAsia" w:cs="宋体"/>
          <w:b/>
          <w:bCs/>
          <w:sz w:val="24"/>
          <w:szCs w:val="24"/>
        </w:rPr>
        <w:t>四、付款方式</w:t>
      </w:r>
    </w:p>
    <w:p w14:paraId="091D2FBC">
      <w:pPr>
        <w:spacing w:line="360" w:lineRule="auto"/>
        <w:ind w:firstLine="480" w:firstLineChars="200"/>
        <w:rPr>
          <w:rFonts w:hint="eastAsia" w:asciiTheme="majorEastAsia" w:hAnsiTheme="majorEastAsia" w:eastAsiaTheme="majorEastAsia" w:cstheme="majorEastAsia"/>
          <w:b w:val="0"/>
          <w:bCs w:val="0"/>
          <w:spacing w:val="0"/>
          <w:kern w:val="2"/>
          <w:sz w:val="22"/>
          <w:szCs w:val="22"/>
          <w:u w:val="none"/>
          <w:lang w:val="en-US" w:eastAsia="zh-CN" w:bidi="ar-SA"/>
        </w:rPr>
      </w:pPr>
      <w:r>
        <w:rPr>
          <w:rFonts w:ascii="宋体" w:hAnsi="宋体" w:cs="宋体"/>
          <w:sz w:val="24"/>
          <w:szCs w:val="24"/>
        </w:rPr>
        <w:t xml:space="preserve">1. </w:t>
      </w:r>
      <w:r>
        <w:rPr>
          <w:rFonts w:hint="eastAsia" w:ascii="宋体" w:hAnsi="宋体" w:cs="宋体"/>
          <w:sz w:val="24"/>
          <w:szCs w:val="24"/>
        </w:rPr>
        <w:t>乙</w:t>
      </w:r>
      <w:r>
        <w:rPr>
          <w:rFonts w:hint="eastAsia" w:cs="Times New Roman" w:asciiTheme="minorEastAsia" w:hAnsiTheme="minorEastAsia" w:eastAsiaTheme="minorEastAsia"/>
          <w:sz w:val="24"/>
          <w:szCs w:val="24"/>
          <w:lang w:val="zh-CN"/>
        </w:rPr>
        <w:t>方</w:t>
      </w:r>
      <w:r>
        <w:rPr>
          <w:rFonts w:hint="eastAsia" w:cs="Times New Roman" w:asciiTheme="minorEastAsia" w:hAnsiTheme="minorEastAsia" w:eastAsiaTheme="minorEastAsia"/>
          <w:b w:val="0"/>
          <w:bCs w:val="0"/>
          <w:spacing w:val="0"/>
          <w:kern w:val="2"/>
          <w:sz w:val="24"/>
          <w:szCs w:val="24"/>
          <w:u w:val="none"/>
          <w:lang w:val="zh-CN" w:eastAsia="zh-CN" w:bidi="ar-SA"/>
        </w:rPr>
        <w:t>按采购人实际申报的计量器具检测数量据实结算</w:t>
      </w:r>
      <w:r>
        <w:rPr>
          <w:rFonts w:hint="eastAsia" w:cs="Times New Roman" w:asciiTheme="minorEastAsia" w:hAnsiTheme="minorEastAsia" w:eastAsiaTheme="minorEastAsia"/>
          <w:sz w:val="24"/>
          <w:szCs w:val="24"/>
          <w:lang w:val="zh-CN" w:eastAsia="zh-CN"/>
        </w:rPr>
        <w:t>（具体见附件1）</w:t>
      </w:r>
      <w:r>
        <w:rPr>
          <w:rFonts w:hint="eastAsia" w:cs="Times New Roman" w:asciiTheme="minorEastAsia" w:hAnsiTheme="minorEastAsia" w:eastAsiaTheme="minorEastAsia"/>
          <w:b w:val="0"/>
          <w:bCs w:val="0"/>
          <w:spacing w:val="0"/>
          <w:kern w:val="2"/>
          <w:sz w:val="24"/>
          <w:szCs w:val="24"/>
          <w:u w:val="none"/>
          <w:lang w:val="zh-CN" w:eastAsia="zh-CN" w:bidi="ar-SA"/>
        </w:rPr>
        <w:t>，</w:t>
      </w:r>
      <w:r>
        <w:rPr>
          <w:rFonts w:hint="eastAsia" w:cs="Times New Roman" w:asciiTheme="minorEastAsia" w:hAnsiTheme="minorEastAsia" w:eastAsiaTheme="minorEastAsia"/>
          <w:sz w:val="24"/>
          <w:szCs w:val="24"/>
          <w:lang w:val="zh-CN"/>
        </w:rPr>
        <w:t>在完成当年计量检定服务并提供计量检定证书，</w:t>
      </w:r>
      <w:r>
        <w:rPr>
          <w:rFonts w:hint="eastAsia" w:cs="Times New Roman" w:asciiTheme="minorEastAsia" w:hAnsiTheme="minorEastAsia" w:eastAsiaTheme="minorEastAsia"/>
          <w:b w:val="0"/>
          <w:bCs w:val="0"/>
          <w:spacing w:val="0"/>
          <w:kern w:val="2"/>
          <w:sz w:val="24"/>
          <w:szCs w:val="24"/>
          <w:u w:val="none"/>
          <w:lang w:val="zh-CN" w:eastAsia="zh-CN" w:bidi="ar-SA"/>
        </w:rPr>
        <w:t>双方签字确认后，收到供应商出具合法有效全额完税发票及凭证资料后，</w:t>
      </w:r>
      <w:r>
        <w:rPr>
          <w:rFonts w:hint="eastAsia" w:cs="Times New Roman" w:asciiTheme="minorEastAsia" w:hAnsiTheme="minorEastAsia" w:eastAsiaTheme="minorEastAsia"/>
          <w:sz w:val="24"/>
          <w:szCs w:val="24"/>
          <w:lang w:val="zh-CN" w:eastAsia="zh-CN"/>
        </w:rPr>
        <w:t>甲方在30日内</w:t>
      </w:r>
      <w:r>
        <w:rPr>
          <w:rFonts w:hint="eastAsia" w:cs="Times New Roman" w:asciiTheme="minorEastAsia" w:hAnsiTheme="minorEastAsia" w:eastAsiaTheme="minorEastAsia"/>
          <w:sz w:val="24"/>
          <w:szCs w:val="24"/>
          <w:lang w:val="zh-CN"/>
        </w:rPr>
        <w:t>支付年度</w:t>
      </w:r>
      <w:r>
        <w:rPr>
          <w:rFonts w:hint="eastAsia" w:cs="Times New Roman" w:asciiTheme="minorEastAsia" w:hAnsiTheme="minorEastAsia" w:eastAsiaTheme="minorEastAsia"/>
          <w:sz w:val="24"/>
          <w:szCs w:val="24"/>
          <w:lang w:val="zh-CN" w:eastAsia="zh-CN"/>
        </w:rPr>
        <w:t>实际</w:t>
      </w:r>
      <w:r>
        <w:rPr>
          <w:rFonts w:hint="eastAsia" w:cs="Times New Roman" w:asciiTheme="minorEastAsia" w:hAnsiTheme="minorEastAsia" w:eastAsiaTheme="minorEastAsia"/>
          <w:sz w:val="24"/>
          <w:szCs w:val="24"/>
          <w:lang w:val="zh-CN"/>
        </w:rPr>
        <w:t>检测费用（</w:t>
      </w:r>
      <w:r>
        <w:rPr>
          <w:rFonts w:hint="eastAsia" w:cs="Times New Roman" w:asciiTheme="minorEastAsia" w:hAnsiTheme="minorEastAsia" w:eastAsiaTheme="minorEastAsia"/>
          <w:sz w:val="24"/>
          <w:szCs w:val="24"/>
          <w:u w:val="none"/>
          <w:lang w:val="zh-CN"/>
        </w:rPr>
        <w:t>即</w:t>
      </w:r>
      <w:r>
        <w:rPr>
          <w:rFonts w:hint="eastAsia" w:cs="Times New Roman" w:asciiTheme="minorEastAsia" w:hAnsiTheme="minorEastAsia" w:eastAsiaTheme="minorEastAsia"/>
          <w:sz w:val="24"/>
          <w:szCs w:val="24"/>
          <w:u w:val="none"/>
          <w:lang w:val="zh-CN" w:eastAsia="zh-CN"/>
        </w:rPr>
        <w:t>为</w:t>
      </w:r>
      <w:r>
        <w:rPr>
          <w:rFonts w:hint="eastAsia" w:cs="Times New Roman" w:asciiTheme="minorEastAsia" w:hAnsiTheme="minorEastAsia" w:eastAsiaTheme="minorEastAsia"/>
          <w:sz w:val="24"/>
          <w:szCs w:val="24"/>
          <w:u w:val="none"/>
          <w:lang w:val="zh-CN"/>
        </w:rPr>
        <w:t>：</w:t>
      </w:r>
      <w:r>
        <w:rPr>
          <w:rFonts w:hint="eastAsia" w:cs="Times New Roman" w:asciiTheme="minorEastAsia" w:hAnsiTheme="minorEastAsia" w:eastAsiaTheme="minorEastAsia"/>
          <w:sz w:val="24"/>
          <w:szCs w:val="24"/>
          <w:u w:val="none"/>
          <w:lang w:val="zh-CN" w:eastAsia="zh-CN"/>
        </w:rPr>
        <w:t xml:space="preserve">      </w:t>
      </w:r>
      <w:r>
        <w:rPr>
          <w:rFonts w:hint="eastAsia" w:cs="Times New Roman" w:asciiTheme="minorEastAsia" w:hAnsiTheme="minorEastAsia" w:eastAsiaTheme="minorEastAsia"/>
          <w:sz w:val="24"/>
          <w:szCs w:val="24"/>
          <w:u w:val="none"/>
          <w:lang w:val="zh-CN"/>
        </w:rPr>
        <w:t>，人民币大写：</w:t>
      </w:r>
      <w:r>
        <w:rPr>
          <w:rFonts w:hint="eastAsia" w:cs="Times New Roman" w:asciiTheme="minorEastAsia" w:hAnsiTheme="minorEastAsia" w:eastAsiaTheme="minorEastAsia"/>
          <w:sz w:val="24"/>
          <w:szCs w:val="24"/>
          <w:u w:val="none"/>
          <w:lang w:val="zh-CN" w:eastAsia="zh-CN"/>
        </w:rPr>
        <w:t xml:space="preserve">      </w:t>
      </w:r>
      <w:r>
        <w:rPr>
          <w:rFonts w:hint="eastAsia" w:cs="Times New Roman" w:asciiTheme="minorEastAsia" w:hAnsiTheme="minorEastAsia" w:eastAsiaTheme="minorEastAsia"/>
          <w:sz w:val="24"/>
          <w:szCs w:val="24"/>
          <w:lang w:val="zh-CN"/>
        </w:rPr>
        <w:t>）</w:t>
      </w:r>
      <w:r>
        <w:rPr>
          <w:rFonts w:hint="eastAsia" w:cs="Times New Roman" w:asciiTheme="minorEastAsia" w:hAnsiTheme="minorEastAsia" w:eastAsiaTheme="minorEastAsia"/>
          <w:sz w:val="24"/>
          <w:szCs w:val="24"/>
          <w:lang w:val="zh-CN" w:eastAsia="zh-CN"/>
        </w:rPr>
        <w:t>给乙方</w:t>
      </w:r>
      <w:r>
        <w:rPr>
          <w:rFonts w:hint="eastAsia" w:cs="Times New Roman" w:asciiTheme="minorEastAsia" w:hAnsiTheme="minorEastAsia" w:eastAsiaTheme="minorEastAsia"/>
          <w:sz w:val="24"/>
          <w:szCs w:val="24"/>
          <w:lang w:val="zh-CN"/>
        </w:rPr>
        <w:t>。</w:t>
      </w:r>
    </w:p>
    <w:p w14:paraId="54FD57F2">
      <w:pPr>
        <w:spacing w:line="360" w:lineRule="auto"/>
        <w:ind w:firstLine="480" w:firstLineChars="200"/>
        <w:rPr>
          <w:rFonts w:hint="eastAsia" w:ascii="宋体" w:hAnsi="宋体" w:cs="宋体"/>
          <w:sz w:val="24"/>
          <w:szCs w:val="24"/>
        </w:rPr>
      </w:pPr>
      <w:r>
        <w:rPr>
          <w:rFonts w:hint="eastAsia" w:ascii="宋体" w:hAnsi="宋体" w:cs="宋体"/>
          <w:sz w:val="24"/>
          <w:szCs w:val="24"/>
        </w:rPr>
        <w:t>2.乙方账号信息</w:t>
      </w:r>
    </w:p>
    <w:p w14:paraId="1ED8D798">
      <w:pPr>
        <w:pStyle w:val="2"/>
      </w:pPr>
    </w:p>
    <w:p w14:paraId="648431DD">
      <w:pPr>
        <w:spacing w:line="360" w:lineRule="auto"/>
        <w:ind w:firstLine="482" w:firstLineChars="200"/>
        <w:rPr>
          <w:rFonts w:ascii="宋体"/>
          <w:sz w:val="24"/>
          <w:szCs w:val="24"/>
        </w:rPr>
      </w:pPr>
      <w:r>
        <w:rPr>
          <w:rFonts w:hint="eastAsia" w:cs="宋体"/>
          <w:b/>
          <w:bCs/>
          <w:sz w:val="24"/>
          <w:szCs w:val="24"/>
        </w:rPr>
        <w:t>五、违约责任</w:t>
      </w:r>
    </w:p>
    <w:p w14:paraId="33BF193C">
      <w:pPr>
        <w:spacing w:line="360" w:lineRule="auto"/>
        <w:ind w:firstLine="480" w:firstLineChars="200"/>
        <w:rPr>
          <w:rFonts w:hint="eastAsia"/>
          <w:sz w:val="24"/>
          <w:szCs w:val="24"/>
          <w:lang w:val="en-US" w:eastAsia="zh-CN"/>
        </w:rPr>
      </w:pPr>
      <w:r>
        <w:rPr>
          <w:rFonts w:ascii="宋体" w:hAnsi="宋体" w:cs="宋体"/>
          <w:sz w:val="24"/>
          <w:szCs w:val="24"/>
        </w:rPr>
        <w:t>1</w:t>
      </w:r>
      <w:r>
        <w:rPr>
          <w:rFonts w:hint="eastAsia" w:ascii="宋体" w:hAnsi="宋体" w:cs="宋体"/>
          <w:sz w:val="24"/>
          <w:szCs w:val="24"/>
        </w:rPr>
        <w:t>、</w:t>
      </w:r>
      <w:r>
        <w:rPr>
          <w:rFonts w:hint="eastAsia"/>
          <w:sz w:val="24"/>
          <w:szCs w:val="24"/>
        </w:rPr>
        <w:t>如因乙方</w:t>
      </w:r>
      <w:r>
        <w:rPr>
          <w:rFonts w:hint="eastAsia"/>
          <w:sz w:val="24"/>
          <w:szCs w:val="24"/>
          <w:lang w:eastAsia="zh-CN"/>
        </w:rPr>
        <w:t>的</w:t>
      </w:r>
      <w:r>
        <w:rPr>
          <w:rFonts w:hint="eastAsia" w:asciiTheme="majorEastAsia" w:hAnsiTheme="majorEastAsia" w:eastAsiaTheme="majorEastAsia" w:cstheme="majorEastAsia"/>
          <w:b w:val="0"/>
          <w:bCs w:val="0"/>
          <w:spacing w:val="0"/>
          <w:kern w:val="2"/>
          <w:sz w:val="22"/>
          <w:szCs w:val="22"/>
          <w:u w:val="none"/>
          <w:lang w:val="en-US" w:eastAsia="zh-CN" w:bidi="ar-SA"/>
        </w:rPr>
        <w:t>疏忽、失职、过错、</w:t>
      </w:r>
      <w:r>
        <w:rPr>
          <w:rFonts w:hint="eastAsia"/>
          <w:sz w:val="24"/>
          <w:szCs w:val="24"/>
        </w:rPr>
        <w:t>服务不到位、</w:t>
      </w:r>
      <w:r>
        <w:rPr>
          <w:rFonts w:hint="eastAsia"/>
          <w:sz w:val="24"/>
          <w:szCs w:val="24"/>
          <w:lang w:val="en-US" w:eastAsia="zh-CN"/>
        </w:rPr>
        <w:t>报告不准确、</w:t>
      </w:r>
      <w:r>
        <w:rPr>
          <w:rFonts w:hint="eastAsia"/>
          <w:sz w:val="24"/>
          <w:szCs w:val="24"/>
        </w:rPr>
        <w:t>报告提供不及时</w:t>
      </w:r>
      <w:r>
        <w:rPr>
          <w:rFonts w:hint="eastAsia" w:asciiTheme="majorEastAsia" w:hAnsiTheme="majorEastAsia" w:eastAsiaTheme="majorEastAsia" w:cstheme="majorEastAsia"/>
          <w:b w:val="0"/>
          <w:bCs w:val="0"/>
          <w:spacing w:val="0"/>
          <w:kern w:val="2"/>
          <w:sz w:val="22"/>
          <w:szCs w:val="22"/>
          <w:u w:val="none"/>
          <w:lang w:val="en-US" w:eastAsia="zh-CN" w:bidi="ar-SA"/>
        </w:rPr>
        <w:t>等故意或者过失原因给甲方造成损失或侵害，包括但不限于采购人本身的财产损失、由此而导致的采购人对任何第三方的法律责任等，乙方对此均应承担全部的赔偿责任，</w:t>
      </w:r>
      <w:r>
        <w:rPr>
          <w:rFonts w:hint="eastAsia"/>
          <w:sz w:val="24"/>
          <w:szCs w:val="24"/>
          <w:lang w:val="en-US" w:eastAsia="zh-CN"/>
        </w:rPr>
        <w:t>乙方还应向甲方支付合同约定金额20%的违约金，乙方应采取有效措施及时止损失，否则，甲方有权行使解除合同权，并在未支付的款项中扣除乙方造成的损失。</w:t>
      </w:r>
    </w:p>
    <w:p w14:paraId="3FF15724">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、如甲方逾期未支付全部检测费用，应按照逾期付款金额每日1‰向乙方支付滞纳金。</w:t>
      </w:r>
    </w:p>
    <w:p w14:paraId="004EB164">
      <w:pPr>
        <w:spacing w:line="360" w:lineRule="auto"/>
        <w:ind w:firstLine="482" w:firstLineChars="200"/>
        <w:rPr>
          <w:b/>
          <w:bCs/>
          <w:sz w:val="24"/>
          <w:szCs w:val="24"/>
        </w:rPr>
      </w:pPr>
      <w:r>
        <w:rPr>
          <w:rFonts w:hint="eastAsia" w:cs="宋体"/>
          <w:b/>
          <w:bCs/>
          <w:sz w:val="24"/>
          <w:szCs w:val="24"/>
        </w:rPr>
        <w:t>六、免除责任</w:t>
      </w:r>
    </w:p>
    <w:p w14:paraId="6AEFF41D">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、由于不可抗力造成本合同不能履行的，双方均不承担违约责任，但遭受不可抗力一方应在不可抗力发生之日起当日内</w:t>
      </w:r>
      <w:r>
        <w:rPr>
          <w:rFonts w:hint="eastAsia" w:ascii="宋体" w:hAnsi="宋体" w:cs="宋体"/>
          <w:sz w:val="24"/>
          <w:szCs w:val="24"/>
          <w:lang w:val="en-US" w:eastAsia="zh-CN"/>
        </w:rPr>
        <w:t>书面</w:t>
      </w:r>
      <w:r>
        <w:rPr>
          <w:rFonts w:hint="eastAsia" w:ascii="宋体" w:hAnsi="宋体" w:cs="宋体"/>
          <w:sz w:val="24"/>
          <w:szCs w:val="24"/>
        </w:rPr>
        <w:t>通知对方，否则应承担迟延通知对对方造成的一切损失。</w:t>
      </w:r>
    </w:p>
    <w:p w14:paraId="02E7E64F">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、本合同附件外其他附加产品的损失。</w:t>
      </w:r>
    </w:p>
    <w:p w14:paraId="19AAA5F2">
      <w:pPr>
        <w:spacing w:line="360" w:lineRule="auto"/>
        <w:ind w:firstLine="482" w:firstLineChars="200"/>
        <w:rPr>
          <w:b/>
          <w:bCs/>
          <w:sz w:val="24"/>
          <w:szCs w:val="24"/>
        </w:rPr>
      </w:pPr>
      <w:r>
        <w:rPr>
          <w:rFonts w:hint="eastAsia" w:cs="宋体"/>
          <w:b/>
          <w:bCs/>
          <w:sz w:val="24"/>
          <w:szCs w:val="24"/>
        </w:rPr>
        <w:t>七、争议的解决</w:t>
      </w:r>
    </w:p>
    <w:p w14:paraId="470B2E1A">
      <w:pPr>
        <w:spacing w:line="360" w:lineRule="auto"/>
        <w:ind w:firstLine="480" w:firstLineChars="200"/>
        <w:rPr>
          <w:rFonts w:ascii="宋体"/>
          <w:sz w:val="28"/>
          <w:szCs w:val="28"/>
        </w:rPr>
      </w:pPr>
      <w:r>
        <w:rPr>
          <w:rFonts w:hint="eastAsia" w:ascii="宋体" w:hAnsi="宋体" w:cs="宋体"/>
          <w:sz w:val="24"/>
          <w:szCs w:val="24"/>
        </w:rPr>
        <w:t>由本合同引起的任何争议，双方应尽量通过友好协商的方式解决。若争议发生后的三十天内仍未达成解决方案，则任何一方有权向资阳市雁江区人民法院起诉。</w:t>
      </w:r>
    </w:p>
    <w:p w14:paraId="5ED4F307">
      <w:pPr>
        <w:spacing w:line="360" w:lineRule="auto"/>
        <w:ind w:firstLine="482" w:firstLineChars="200"/>
        <w:rPr>
          <w:b/>
          <w:bCs/>
          <w:sz w:val="24"/>
          <w:szCs w:val="24"/>
        </w:rPr>
      </w:pPr>
      <w:r>
        <w:rPr>
          <w:rFonts w:hint="eastAsia" w:cs="宋体"/>
          <w:b/>
          <w:bCs/>
          <w:sz w:val="24"/>
          <w:szCs w:val="24"/>
        </w:rPr>
        <w:t>八、其他条款</w:t>
      </w:r>
    </w:p>
    <w:p w14:paraId="0FBB8334">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、本合同的附件是合同有机组成部分，具有补充作用，对合同双方均有约束力。</w:t>
      </w:r>
    </w:p>
    <w:p w14:paraId="042459C6">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、本合同任何条款的无效并不影响本合同其他条款的效力。</w:t>
      </w:r>
    </w:p>
    <w:p w14:paraId="0FD851B8">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、本合同以中文书写，一式伍份，甲方持叁份正本，乙方持贰份正本。</w:t>
      </w:r>
    </w:p>
    <w:p w14:paraId="6D385560">
      <w:pPr>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、本合同经双方法定代表人或授权代表签字、盖</w:t>
      </w:r>
      <w:r>
        <w:rPr>
          <w:rFonts w:hint="eastAsia" w:ascii="宋体" w:hAnsi="宋体" w:cs="宋体"/>
          <w:sz w:val="24"/>
          <w:szCs w:val="24"/>
          <w:lang w:val="en-US" w:eastAsia="zh-CN"/>
        </w:rPr>
        <w:t>公</w:t>
      </w:r>
      <w:r>
        <w:rPr>
          <w:rFonts w:hint="eastAsia" w:ascii="宋体" w:hAnsi="宋体" w:cs="宋体"/>
          <w:sz w:val="24"/>
          <w:szCs w:val="24"/>
        </w:rPr>
        <w:t>章后发生法律效力。</w:t>
      </w:r>
    </w:p>
    <w:p w14:paraId="39FF28B3">
      <w:pPr>
        <w:spacing w:line="360" w:lineRule="auto"/>
        <w:ind w:firstLine="480" w:firstLineChars="200"/>
        <w:rPr>
          <w:rFonts w:ascii="宋体"/>
          <w:sz w:val="28"/>
          <w:szCs w:val="28"/>
        </w:rPr>
      </w:pPr>
      <w:r>
        <w:rPr>
          <w:rFonts w:ascii="宋体" w:hAnsi="宋体" w:cs="宋体"/>
          <w:sz w:val="24"/>
          <w:szCs w:val="24"/>
        </w:rPr>
        <w:t>5</w:t>
      </w:r>
      <w:r>
        <w:rPr>
          <w:rFonts w:hint="eastAsia" w:ascii="宋体" w:hAnsi="宋体" w:cs="宋体"/>
          <w:sz w:val="24"/>
          <w:szCs w:val="24"/>
        </w:rPr>
        <w:t>、本合同的通讯地址以合同中约定、载明的为准</w:t>
      </w:r>
      <w:r>
        <w:rPr>
          <w:rFonts w:hint="eastAsia" w:ascii="宋体" w:hAnsi="宋体" w:cs="宋体"/>
          <w:sz w:val="24"/>
          <w:szCs w:val="24"/>
          <w:lang w:eastAsia="zh-CN"/>
        </w:rPr>
        <w:t>，</w:t>
      </w:r>
      <w:r>
        <w:rPr>
          <w:rFonts w:hint="eastAsia" w:ascii="宋体" w:hAnsi="宋体" w:cs="宋体"/>
          <w:sz w:val="24"/>
          <w:szCs w:val="24"/>
          <w:lang w:val="en-US" w:eastAsia="zh-CN"/>
        </w:rPr>
        <w:t>以此作为经后双方联络，送达书信的主要依据以及法院送达文书的依据</w:t>
      </w:r>
      <w:r>
        <w:rPr>
          <w:rFonts w:hint="eastAsia" w:ascii="宋体" w:hAnsi="宋体" w:cs="宋体"/>
          <w:sz w:val="24"/>
          <w:szCs w:val="24"/>
        </w:rPr>
        <w:t>。发生变更的，变更方应及时通知对方</w:t>
      </w:r>
      <w:r>
        <w:rPr>
          <w:rFonts w:hint="eastAsia" w:ascii="宋体" w:hAnsi="宋体" w:cs="宋体"/>
          <w:sz w:val="24"/>
          <w:szCs w:val="24"/>
          <w:lang w:val="en-US" w:eastAsia="zh-CN"/>
        </w:rPr>
        <w:t>或法院</w:t>
      </w:r>
      <w:r>
        <w:rPr>
          <w:rFonts w:hint="eastAsia" w:ascii="宋体" w:hAnsi="宋体" w:cs="宋体"/>
          <w:sz w:val="24"/>
          <w:szCs w:val="24"/>
        </w:rPr>
        <w:t>，否则造成的一切损失均由变更方承担。</w:t>
      </w:r>
    </w:p>
    <w:p w14:paraId="7D754173">
      <w:pPr>
        <w:spacing w:line="360" w:lineRule="auto"/>
        <w:ind w:firstLine="480" w:firstLineChars="200"/>
        <w:rPr>
          <w:rFonts w:ascii="宋体"/>
          <w:sz w:val="24"/>
          <w:szCs w:val="24"/>
        </w:rPr>
      </w:pPr>
    </w:p>
    <w:p w14:paraId="041C8AA8">
      <w:pPr>
        <w:adjustRightInd w:val="0"/>
        <w:spacing w:beforeLines="50" w:line="360" w:lineRule="auto"/>
        <w:ind w:firstLine="480" w:firstLineChars="200"/>
        <w:textAlignment w:val="baseline"/>
        <w:rPr>
          <w:rFonts w:ascii="宋体"/>
          <w:sz w:val="24"/>
          <w:szCs w:val="24"/>
        </w:rPr>
      </w:pPr>
      <w:r>
        <w:rPr>
          <w:rFonts w:hint="eastAsia" w:ascii="宋体" w:hAnsi="宋体" w:cs="宋体"/>
          <w:sz w:val="24"/>
          <w:szCs w:val="24"/>
        </w:rPr>
        <w:t>（以下为签署栏无正文）</w:t>
      </w:r>
    </w:p>
    <w:p w14:paraId="21AD82C3">
      <w:pPr>
        <w:spacing w:line="360" w:lineRule="auto"/>
        <w:ind w:left="5520" w:hanging="5520" w:hangingChars="2300"/>
        <w:rPr>
          <w:rFonts w:ascii="宋体" w:hAnsi="宋体" w:cs="宋体"/>
          <w:sz w:val="24"/>
          <w:szCs w:val="24"/>
        </w:rPr>
      </w:pPr>
      <w:r>
        <w:rPr>
          <w:rFonts w:hint="eastAsia" w:ascii="宋体" w:hAnsi="宋体" w:cs="宋体"/>
          <w:kern w:val="0"/>
          <w:sz w:val="24"/>
          <w:szCs w:val="24"/>
        </w:rPr>
        <w:t>甲方：资阳市</w:t>
      </w:r>
      <w:r>
        <w:rPr>
          <w:rFonts w:hint="eastAsia" w:ascii="宋体" w:hAnsi="宋体" w:cs="宋体"/>
          <w:kern w:val="0"/>
          <w:sz w:val="24"/>
          <w:szCs w:val="24"/>
          <w:lang w:val="en-US" w:eastAsia="zh-CN"/>
        </w:rPr>
        <w:t>精神病医院</w:t>
      </w:r>
      <w:r>
        <w:rPr>
          <w:rFonts w:hint="eastAsia" w:ascii="宋体" w:hAnsi="宋体" w:cs="宋体"/>
          <w:kern w:val="0"/>
          <w:sz w:val="24"/>
          <w:szCs w:val="24"/>
        </w:rPr>
        <w:t xml:space="preserve">            乙方：</w:t>
      </w:r>
      <w:r>
        <w:rPr>
          <w:rFonts w:hint="eastAsia" w:ascii="宋体" w:hAnsi="宋体" w:cs="宋体"/>
          <w:sz w:val="24"/>
          <w:szCs w:val="24"/>
        </w:rPr>
        <w:t>资阳市</w:t>
      </w:r>
      <w:r>
        <w:rPr>
          <w:rFonts w:hint="eastAsia" w:ascii="宋体" w:hAnsi="宋体" w:cs="宋体"/>
          <w:sz w:val="24"/>
          <w:szCs w:val="24"/>
          <w:lang w:eastAsia="zh-CN"/>
        </w:rPr>
        <w:t>质量检验检测和计量检定测试中心（资阳市纤维检验所）</w:t>
      </w:r>
    </w:p>
    <w:p w14:paraId="5CE3B4CC">
      <w:pPr>
        <w:widowControl/>
        <w:spacing w:line="360" w:lineRule="auto"/>
        <w:ind w:left="6" w:leftChars="3"/>
        <w:rPr>
          <w:rFonts w:ascii="宋体"/>
          <w:sz w:val="24"/>
          <w:szCs w:val="24"/>
        </w:rPr>
      </w:pPr>
      <w:r>
        <w:rPr>
          <w:rFonts w:hint="eastAsia" w:ascii="宋体" w:hAnsi="宋体" w:cs="宋体"/>
          <w:sz w:val="24"/>
          <w:szCs w:val="24"/>
        </w:rPr>
        <w:t>法定代表人或委托代表人：              法定代表人或委托代表人：</w:t>
      </w:r>
    </w:p>
    <w:p w14:paraId="1C34A886">
      <w:pPr>
        <w:pStyle w:val="2"/>
        <w:rPr>
          <w:rFonts w:cs="Times New Roman"/>
          <w:lang w:val="en-US"/>
        </w:rPr>
      </w:pPr>
    </w:p>
    <w:p w14:paraId="4A365236">
      <w:pPr>
        <w:widowControl/>
        <w:spacing w:line="360" w:lineRule="auto"/>
        <w:ind w:left="-458" w:leftChars="-218" w:right="420" w:firstLine="480" w:firstLineChars="200"/>
        <w:rPr>
          <w:rFonts w:ascii="宋体"/>
          <w:kern w:val="0"/>
          <w:sz w:val="24"/>
          <w:szCs w:val="24"/>
        </w:rPr>
      </w:pPr>
      <w:r>
        <w:rPr>
          <w:rFonts w:hint="eastAsia" w:ascii="宋体" w:hAnsi="宋体" w:cs="宋体"/>
          <w:kern w:val="0"/>
          <w:sz w:val="24"/>
          <w:szCs w:val="24"/>
        </w:rPr>
        <w:t>电话：</w:t>
      </w:r>
      <w:r>
        <w:rPr>
          <w:rFonts w:ascii="宋体" w:hAnsi="宋体" w:cs="宋体"/>
          <w:kern w:val="0"/>
          <w:sz w:val="24"/>
          <w:szCs w:val="24"/>
        </w:rPr>
        <w:t xml:space="preserve">               </w:t>
      </w: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电话：</w:t>
      </w:r>
    </w:p>
    <w:p w14:paraId="3851DC57">
      <w:pPr>
        <w:widowControl/>
        <w:spacing w:line="360" w:lineRule="auto"/>
        <w:ind w:left="-458" w:leftChars="-218" w:right="420" w:firstLine="480" w:firstLineChars="200"/>
        <w:rPr>
          <w:rFonts w:ascii="宋体"/>
          <w:sz w:val="24"/>
          <w:szCs w:val="24"/>
        </w:rPr>
      </w:pPr>
      <w:r>
        <w:rPr>
          <w:rFonts w:hint="eastAsia" w:ascii="宋体" w:hAnsi="宋体" w:cs="宋体"/>
          <w:sz w:val="24"/>
          <w:szCs w:val="24"/>
        </w:rPr>
        <w:t>日期：                            日期：</w:t>
      </w:r>
    </w:p>
    <w:p w14:paraId="181E818A">
      <w:pPr>
        <w:pStyle w:val="2"/>
        <w:ind w:left="0"/>
        <w:rPr>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OTVmNjJmZjU0NzQyZWE5N2EzYmJmMTI2YTBjMmUifQ=="/>
  </w:docVars>
  <w:rsids>
    <w:rsidRoot w:val="00322F60"/>
    <w:rsid w:val="00004685"/>
    <w:rsid w:val="002904E3"/>
    <w:rsid w:val="002D315C"/>
    <w:rsid w:val="00322F60"/>
    <w:rsid w:val="0034599D"/>
    <w:rsid w:val="00370A97"/>
    <w:rsid w:val="003936FF"/>
    <w:rsid w:val="0043563E"/>
    <w:rsid w:val="00447D8B"/>
    <w:rsid w:val="00472B52"/>
    <w:rsid w:val="00515EF5"/>
    <w:rsid w:val="005267BD"/>
    <w:rsid w:val="006017B2"/>
    <w:rsid w:val="0061120D"/>
    <w:rsid w:val="006815C7"/>
    <w:rsid w:val="006A737F"/>
    <w:rsid w:val="006C09E0"/>
    <w:rsid w:val="007961A1"/>
    <w:rsid w:val="00826223"/>
    <w:rsid w:val="00845BAC"/>
    <w:rsid w:val="008A2B5A"/>
    <w:rsid w:val="008B5B51"/>
    <w:rsid w:val="008C0C01"/>
    <w:rsid w:val="008E7DF3"/>
    <w:rsid w:val="00940158"/>
    <w:rsid w:val="00941CF7"/>
    <w:rsid w:val="009C6118"/>
    <w:rsid w:val="009F7C86"/>
    <w:rsid w:val="00A338ED"/>
    <w:rsid w:val="00A50858"/>
    <w:rsid w:val="00A62A32"/>
    <w:rsid w:val="00AB32A0"/>
    <w:rsid w:val="00B30BFA"/>
    <w:rsid w:val="00C05BB4"/>
    <w:rsid w:val="00C16831"/>
    <w:rsid w:val="00C3174C"/>
    <w:rsid w:val="00C4751F"/>
    <w:rsid w:val="00C753F9"/>
    <w:rsid w:val="00D379DE"/>
    <w:rsid w:val="00D415C4"/>
    <w:rsid w:val="00D9630E"/>
    <w:rsid w:val="00DE4D62"/>
    <w:rsid w:val="00E57D7A"/>
    <w:rsid w:val="032627F2"/>
    <w:rsid w:val="0392506C"/>
    <w:rsid w:val="056D52E8"/>
    <w:rsid w:val="05F3396E"/>
    <w:rsid w:val="08345247"/>
    <w:rsid w:val="0AFD49C0"/>
    <w:rsid w:val="0B261650"/>
    <w:rsid w:val="0BE44F3C"/>
    <w:rsid w:val="0DFE1BA3"/>
    <w:rsid w:val="0E7037A8"/>
    <w:rsid w:val="12D8098F"/>
    <w:rsid w:val="1449410A"/>
    <w:rsid w:val="1D5B28C9"/>
    <w:rsid w:val="1DCE23D2"/>
    <w:rsid w:val="1E230BAF"/>
    <w:rsid w:val="22A10CB9"/>
    <w:rsid w:val="26940461"/>
    <w:rsid w:val="26B4654B"/>
    <w:rsid w:val="299D74B0"/>
    <w:rsid w:val="2AB0783E"/>
    <w:rsid w:val="2AD41D73"/>
    <w:rsid w:val="2C0A1BAB"/>
    <w:rsid w:val="2DDD361B"/>
    <w:rsid w:val="2E7E3120"/>
    <w:rsid w:val="31232B7B"/>
    <w:rsid w:val="31BC33C9"/>
    <w:rsid w:val="31F168A6"/>
    <w:rsid w:val="35340532"/>
    <w:rsid w:val="356B3A91"/>
    <w:rsid w:val="39795D26"/>
    <w:rsid w:val="39E307E7"/>
    <w:rsid w:val="3A2F13F5"/>
    <w:rsid w:val="3DB51E27"/>
    <w:rsid w:val="3EB924F9"/>
    <w:rsid w:val="40804AE5"/>
    <w:rsid w:val="41E81148"/>
    <w:rsid w:val="463A705E"/>
    <w:rsid w:val="46AC1704"/>
    <w:rsid w:val="473C6C69"/>
    <w:rsid w:val="47BD3664"/>
    <w:rsid w:val="48367C11"/>
    <w:rsid w:val="495457F8"/>
    <w:rsid w:val="52834C69"/>
    <w:rsid w:val="58725E54"/>
    <w:rsid w:val="5DD04D72"/>
    <w:rsid w:val="63E52D26"/>
    <w:rsid w:val="6C330E60"/>
    <w:rsid w:val="7001034F"/>
    <w:rsid w:val="707B7B54"/>
    <w:rsid w:val="738A2AF6"/>
    <w:rsid w:val="750B1E26"/>
    <w:rsid w:val="78BD017E"/>
    <w:rsid w:val="7E513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ind w:left="227"/>
    </w:pPr>
    <w:rPr>
      <w:rFonts w:ascii="宋体" w:hAnsi="宋体" w:cs="宋体"/>
      <w:sz w:val="24"/>
      <w:szCs w:val="24"/>
      <w:lang w:val="zh-CN"/>
    </w:rPr>
  </w:style>
  <w:style w:type="paragraph" w:styleId="4">
    <w:name w:val="annotation text"/>
    <w:basedOn w:val="1"/>
    <w:link w:val="23"/>
    <w:semiHidden/>
    <w:unhideWhenUsed/>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Plain Text"/>
    <w:basedOn w:val="1"/>
    <w:qFormat/>
    <w:uiPriority w:val="0"/>
    <w:pPr>
      <w:spacing w:line="360" w:lineRule="auto"/>
    </w:pPr>
    <w:rPr>
      <w:rFonts w:ascii="宋体" w:hAnsi="Courier New"/>
      <w:sz w:val="24"/>
    </w:rPr>
  </w:style>
  <w:style w:type="paragraph" w:styleId="7">
    <w:name w:val="Balloon Text"/>
    <w:basedOn w:val="1"/>
    <w:link w:val="22"/>
    <w:qFormat/>
    <w:uiPriority w:val="0"/>
    <w:rPr>
      <w:sz w:val="18"/>
      <w:szCs w:val="18"/>
    </w:r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1">
    <w:name w:val="annotation subject"/>
    <w:basedOn w:val="4"/>
    <w:next w:val="4"/>
    <w:link w:val="24"/>
    <w:semiHidden/>
    <w:unhideWhenUsed/>
    <w:qFormat/>
    <w:uiPriority w:val="0"/>
    <w:rPr>
      <w:b/>
      <w:bCs/>
    </w:rPr>
  </w:style>
  <w:style w:type="paragraph" w:styleId="12">
    <w:name w:val="Body Text First Indent"/>
    <w:basedOn w:val="2"/>
    <w:next w:val="13"/>
    <w:qFormat/>
    <w:uiPriority w:val="99"/>
    <w:pPr>
      <w:ind w:firstLine="420" w:firstLineChars="100"/>
    </w:pPr>
  </w:style>
  <w:style w:type="paragraph" w:styleId="13">
    <w:name w:val="Body Text First Indent 2"/>
    <w:basedOn w:val="5"/>
    <w:qFormat/>
    <w:uiPriority w:val="0"/>
    <w:pPr>
      <w:widowControl/>
      <w:spacing w:after="120" w:afterLines="0"/>
      <w:ind w:left="420" w:leftChars="200" w:firstLine="420" w:firstLineChars="200"/>
    </w:pPr>
    <w:rPr>
      <w:rFonts w:ascii="仿宋_GB2312" w:eastAsia="仿宋_GB2312"/>
      <w:color w:val="FF6600"/>
      <w:sz w:val="21"/>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annotation reference"/>
    <w:basedOn w:val="16"/>
    <w:semiHidden/>
    <w:unhideWhenUsed/>
    <w:qFormat/>
    <w:uiPriority w:val="0"/>
    <w:rPr>
      <w:sz w:val="21"/>
      <w:szCs w:val="21"/>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Table Paragraph"/>
    <w:basedOn w:val="1"/>
    <w:qFormat/>
    <w:uiPriority w:val="99"/>
    <w:rPr>
      <w:rFonts w:ascii="宋体" w:hAnsi="宋体" w:cs="宋体"/>
      <w:lang w:val="zh-CN"/>
    </w:rPr>
  </w:style>
  <w:style w:type="character" w:customStyle="1" w:styleId="20">
    <w:name w:val="页眉 Char"/>
    <w:basedOn w:val="16"/>
    <w:link w:val="9"/>
    <w:qFormat/>
    <w:uiPriority w:val="0"/>
    <w:rPr>
      <w:rFonts w:ascii="Times New Roman" w:hAnsi="Times New Roman"/>
      <w:kern w:val="2"/>
      <w:sz w:val="18"/>
      <w:szCs w:val="18"/>
    </w:rPr>
  </w:style>
  <w:style w:type="character" w:customStyle="1" w:styleId="21">
    <w:name w:val="页脚 Char"/>
    <w:basedOn w:val="16"/>
    <w:link w:val="8"/>
    <w:qFormat/>
    <w:uiPriority w:val="0"/>
    <w:rPr>
      <w:rFonts w:ascii="Times New Roman" w:hAnsi="Times New Roman"/>
      <w:kern w:val="2"/>
      <w:sz w:val="18"/>
      <w:szCs w:val="18"/>
    </w:rPr>
  </w:style>
  <w:style w:type="character" w:customStyle="1" w:styleId="22">
    <w:name w:val="批注框文本 Char"/>
    <w:basedOn w:val="16"/>
    <w:link w:val="7"/>
    <w:qFormat/>
    <w:uiPriority w:val="0"/>
    <w:rPr>
      <w:rFonts w:ascii="Times New Roman" w:hAnsi="Times New Roman"/>
      <w:kern w:val="2"/>
      <w:sz w:val="18"/>
      <w:szCs w:val="18"/>
    </w:rPr>
  </w:style>
  <w:style w:type="character" w:customStyle="1" w:styleId="23">
    <w:name w:val="批注文字 Char"/>
    <w:basedOn w:val="16"/>
    <w:link w:val="4"/>
    <w:semiHidden/>
    <w:qFormat/>
    <w:uiPriority w:val="0"/>
    <w:rPr>
      <w:rFonts w:ascii="Times New Roman" w:hAnsi="Times New Roman"/>
      <w:kern w:val="2"/>
      <w:sz w:val="21"/>
      <w:szCs w:val="21"/>
    </w:rPr>
  </w:style>
  <w:style w:type="character" w:customStyle="1" w:styleId="24">
    <w:name w:val="批注主题 Char"/>
    <w:basedOn w:val="23"/>
    <w:link w:val="11"/>
    <w:semiHidden/>
    <w:qFormat/>
    <w:uiPriority w:val="0"/>
    <w:rPr>
      <w:rFonts w:ascii="Times New Roman" w:hAnsi="Times New Roman"/>
      <w:b/>
      <w:bCs/>
      <w:kern w:val="2"/>
      <w:sz w:val="21"/>
      <w:szCs w:val="21"/>
    </w:rPr>
  </w:style>
  <w:style w:type="paragraph" w:customStyle="1" w:styleId="25">
    <w:name w:val="修订1"/>
    <w:hidden/>
    <w:semiHidden/>
    <w:unhideWhenUsed/>
    <w:qFormat/>
    <w:uiPriority w:val="99"/>
    <w:rPr>
      <w:rFonts w:ascii="Times New Roman" w:hAnsi="Times New Roman" w:eastAsia="宋体" w:cs="Times New Roman"/>
      <w:kern w:val="2"/>
      <w:sz w:val="21"/>
      <w:szCs w:val="21"/>
      <w:lang w:val="en-US" w:eastAsia="zh-CN" w:bidi="ar-SA"/>
    </w:rPr>
  </w:style>
  <w:style w:type="paragraph" w:customStyle="1" w:styleId="26">
    <w:name w:val="null3"/>
    <w:qFormat/>
    <w:uiPriority w:val="0"/>
    <w:rPr>
      <w:rFonts w:hint="eastAsia" w:ascii="Calibri" w:hAnsi="Calibri" w:eastAsia="宋体" w:cs="Times New Roman"/>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CFCB3-91EA-4A59-A1A9-4321519875B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1740</Words>
  <Characters>1767</Characters>
  <Lines>19</Lines>
  <Paragraphs>5</Paragraphs>
  <TotalTime>1</TotalTime>
  <ScaleCrop>false</ScaleCrop>
  <LinksUpToDate>false</LinksUpToDate>
  <CharactersWithSpaces>1928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2022-04-19T01:14:00Z</dcterms:created>
  <dc:creator>Administrator</dc:creator>
  <cp:lastModifiedBy>哇咔咔</cp:lastModifiedBy>
  <cp:lastPrinted>2025-11-25T03:08:00Z</cp:lastPrinted>
  <dcterms:modified xsi:type="dcterms:W3CDTF">2026-03-31T00:22:46Z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480FBCB1CDD347E9BBF7BCBBE53D2955_13</vt:lpwstr>
  </property>
  <property fmtid="{D5CDD505-2E9C-101B-9397-08002B2CF9AE}" pid="4" name="KSOTemplateDocerSaveRecord">
    <vt:lpwstr>eyJoZGlkIjoiNGJiZjZjOTM0NzJlM2FhMDNiMmFiY2I3MDE1NDU1Y2QiLCJ1c2VySWQiOiIzMzc0MDk4MDgifQ==</vt:lpwstr>
  </property>
</Properties>
</file>